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B220" w14:textId="77777777" w:rsidR="001F2B4F" w:rsidRPr="00E55A82" w:rsidRDefault="001F2B4F" w:rsidP="00E55A82">
      <w:pPr>
        <w:snapToGrid w:val="0"/>
        <w:spacing w:line="600" w:lineRule="exact"/>
        <w:jc w:val="center"/>
        <w:rPr>
          <w:rFonts w:ascii="方正小标宋_GBK" w:eastAsia="方正小标宋_GBK" w:hAnsi="方正小标宋_GBK" w:cs="方正小标宋_GBK"/>
          <w:sz w:val="48"/>
          <w:szCs w:val="48"/>
        </w:rPr>
      </w:pPr>
    </w:p>
    <w:p w14:paraId="3EE251A3" w14:textId="77777777" w:rsidR="001F2B4F" w:rsidRPr="00E55A82" w:rsidRDefault="001F2B4F" w:rsidP="00E55A82">
      <w:pPr>
        <w:snapToGrid w:val="0"/>
        <w:spacing w:line="600" w:lineRule="exact"/>
        <w:jc w:val="center"/>
        <w:rPr>
          <w:rFonts w:ascii="方正小标宋_GBK" w:eastAsia="方正小标宋_GBK" w:hAnsi="方正小标宋_GBK" w:cs="方正小标宋_GBK"/>
          <w:sz w:val="48"/>
          <w:szCs w:val="48"/>
        </w:rPr>
      </w:pPr>
    </w:p>
    <w:p w14:paraId="0B62B628" w14:textId="77777777" w:rsidR="001F2B4F" w:rsidRPr="00E55A82" w:rsidRDefault="001F2B4F" w:rsidP="00E55A82">
      <w:pPr>
        <w:snapToGrid w:val="0"/>
        <w:spacing w:line="600" w:lineRule="exact"/>
        <w:jc w:val="center"/>
        <w:rPr>
          <w:rFonts w:ascii="方正小标宋_GBK" w:eastAsia="方正小标宋_GBK" w:hAnsi="方正小标宋_GBK" w:cs="方正小标宋_GBK"/>
          <w:sz w:val="48"/>
          <w:szCs w:val="48"/>
        </w:rPr>
      </w:pPr>
    </w:p>
    <w:p w14:paraId="64F2CB22" w14:textId="77777777" w:rsidR="001F2B4F" w:rsidRDefault="00000000">
      <w:pPr>
        <w:overflowPunct w:val="0"/>
        <w:snapToGrid w:val="0"/>
        <w:spacing w:line="900" w:lineRule="exact"/>
        <w:jc w:val="center"/>
        <w:rPr>
          <w:rFonts w:ascii="方正小标宋_GBK" w:eastAsia="方正小标宋_GBK" w:hAnsi="方正小标宋_GBK" w:cs="方正小标宋_GBK"/>
          <w:spacing w:val="-9"/>
          <w:sz w:val="50"/>
          <w:szCs w:val="50"/>
        </w:rPr>
      </w:pPr>
      <w:r>
        <w:rPr>
          <w:rFonts w:ascii="方正小标宋_GBK" w:eastAsia="方正小标宋_GBK" w:hAnsi="方正小标宋_GBK" w:cs="方正小标宋_GBK" w:hint="eastAsia"/>
          <w:spacing w:val="-9"/>
          <w:sz w:val="48"/>
          <w:szCs w:val="48"/>
        </w:rPr>
        <w:t>成都市“十四五”国际会展之都建设规划</w:t>
      </w:r>
    </w:p>
    <w:p w14:paraId="1BED0513" w14:textId="21A37543" w:rsidR="00E55A82" w:rsidRPr="00E55A82" w:rsidRDefault="00E55A82" w:rsidP="00510A32">
      <w:pPr>
        <w:overflowPunct w:val="0"/>
        <w:snapToGrid w:val="0"/>
        <w:spacing w:line="900" w:lineRule="exact"/>
        <w:jc w:val="center"/>
        <w:rPr>
          <w:rFonts w:ascii="方正小标宋_GBK" w:eastAsia="方正小标宋_GBK" w:hAnsi="方正小标宋_GBK" w:cs="方正小标宋_GBK"/>
          <w:sz w:val="52"/>
          <w:szCs w:val="52"/>
        </w:rPr>
      </w:pPr>
    </w:p>
    <w:p w14:paraId="17A8758E"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34B27E76"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3EAA3F59"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244D01F1"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39502E67"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5410F391"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295CECD3"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6CF62AC0" w14:textId="77777777" w:rsidR="001F2B4F" w:rsidRDefault="001F2B4F">
      <w:pPr>
        <w:overflowPunct w:val="0"/>
        <w:snapToGrid w:val="0"/>
        <w:spacing w:line="900" w:lineRule="exact"/>
        <w:jc w:val="center"/>
        <w:rPr>
          <w:rFonts w:ascii="方正小标宋_GBK" w:eastAsia="方正小标宋_GBK" w:hAnsi="方正小标宋_GBK" w:cs="方正小标宋_GBK"/>
          <w:sz w:val="52"/>
          <w:szCs w:val="52"/>
        </w:rPr>
      </w:pPr>
    </w:p>
    <w:p w14:paraId="3AD2E842" w14:textId="77777777" w:rsidR="001F2B4F" w:rsidRDefault="00000000">
      <w:pPr>
        <w:overflowPunct w:val="0"/>
        <w:spacing w:line="600" w:lineRule="exact"/>
        <w:jc w:val="center"/>
        <w:rPr>
          <w:rFonts w:eastAsia="方正楷体_GBK" w:cs="Times New Roman"/>
          <w:sz w:val="36"/>
          <w:szCs w:val="32"/>
        </w:rPr>
      </w:pPr>
      <w:r>
        <w:rPr>
          <w:rFonts w:eastAsia="方正楷体_GBK" w:cs="Times New Roman" w:hint="eastAsia"/>
          <w:sz w:val="36"/>
          <w:szCs w:val="32"/>
        </w:rPr>
        <w:t>成都市博览局</w:t>
      </w:r>
    </w:p>
    <w:p w14:paraId="48250404" w14:textId="77777777" w:rsidR="001F2B4F" w:rsidRDefault="00000000">
      <w:pPr>
        <w:overflowPunct w:val="0"/>
        <w:spacing w:line="600" w:lineRule="exact"/>
        <w:jc w:val="center"/>
        <w:rPr>
          <w:rFonts w:eastAsia="方正楷体_GBK" w:cs="Times New Roman"/>
          <w:sz w:val="36"/>
          <w:szCs w:val="32"/>
        </w:rPr>
      </w:pPr>
      <w:r>
        <w:rPr>
          <w:rFonts w:eastAsia="方正楷体_GBK" w:cs="Times New Roman"/>
          <w:sz w:val="36"/>
          <w:szCs w:val="32"/>
        </w:rPr>
        <w:br w:type="page"/>
      </w:r>
    </w:p>
    <w:bookmarkStart w:id="0" w:name="_Toc65700493" w:displacedByCustomXml="next"/>
    <w:bookmarkStart w:id="1" w:name="_Toc78795982" w:displacedByCustomXml="next"/>
    <w:bookmarkStart w:id="2" w:name="_Toc78795954" w:displacedByCustomXml="next"/>
    <w:sdt>
      <w:sdtPr>
        <w:id w:val="-1247421232"/>
      </w:sdtPr>
      <w:sdtEndPr>
        <w:rPr>
          <w:bCs/>
          <w:sz w:val="36"/>
          <w:szCs w:val="36"/>
          <w:lang w:val="zh-CN"/>
        </w:rPr>
      </w:sdtEndPr>
      <w:sdtContent>
        <w:p w14:paraId="4F17F7B3" w14:textId="77777777" w:rsidR="001F2B4F" w:rsidRDefault="00000000">
          <w:pPr>
            <w:overflowPunct w:val="0"/>
            <w:autoSpaceDE w:val="0"/>
            <w:autoSpaceDN w:val="0"/>
            <w:adjustRightInd w:val="0"/>
            <w:snapToGrid w:val="0"/>
            <w:spacing w:line="640" w:lineRule="exact"/>
            <w:jc w:val="center"/>
            <w:rPr>
              <w:rFonts w:ascii="方正小标宋_GBK" w:eastAsia="方正小标宋_GBK" w:hAnsi="方正小标宋_GBK" w:cs="方正黑体_GBK"/>
              <w:bCs/>
              <w:sz w:val="44"/>
              <w:szCs w:val="44"/>
            </w:rPr>
          </w:pPr>
          <w:r>
            <w:rPr>
              <w:rFonts w:ascii="方正小标宋_GBK" w:eastAsia="方正小标宋_GBK" w:hAnsi="方正小标宋_GBK" w:cs="方正黑体_GBK" w:hint="eastAsia"/>
              <w:bCs/>
              <w:sz w:val="44"/>
              <w:szCs w:val="44"/>
            </w:rPr>
            <w:t>目  录</w:t>
          </w:r>
        </w:p>
        <w:p w14:paraId="65867D98" w14:textId="77777777" w:rsidR="001F2B4F" w:rsidRDefault="001F2B4F">
          <w:pPr>
            <w:overflowPunct w:val="0"/>
            <w:snapToGrid w:val="0"/>
            <w:spacing w:line="640" w:lineRule="exact"/>
            <w:rPr>
              <w:lang w:val="zh-CN"/>
            </w:rPr>
          </w:pPr>
        </w:p>
        <w:p w14:paraId="738D1BD0" w14:textId="25220CD3" w:rsidR="001F2B4F" w:rsidRDefault="00000000">
          <w:pPr>
            <w:tabs>
              <w:tab w:val="right" w:leader="dot" w:pos="8296"/>
            </w:tabs>
            <w:overflowPunct w:val="0"/>
            <w:adjustRightInd w:val="0"/>
            <w:snapToGrid w:val="0"/>
            <w:spacing w:line="640" w:lineRule="exact"/>
            <w:rPr>
              <w:noProof/>
              <w:szCs w:val="32"/>
            </w:rPr>
          </w:pPr>
          <w:r>
            <w:rPr>
              <w:rFonts w:eastAsia="仿宋" w:cs="Times New Roman"/>
              <w:sz w:val="36"/>
              <w:szCs w:val="36"/>
            </w:rPr>
            <w:fldChar w:fldCharType="begin"/>
          </w:r>
          <w:r>
            <w:rPr>
              <w:rFonts w:eastAsia="仿宋" w:cs="Times New Roman"/>
              <w:sz w:val="36"/>
              <w:szCs w:val="36"/>
            </w:rPr>
            <w:instrText xml:space="preserve"> TOC \o "1-3" \h \z \u </w:instrText>
          </w:r>
          <w:r>
            <w:rPr>
              <w:rFonts w:eastAsia="仿宋" w:cs="Times New Roman"/>
              <w:sz w:val="36"/>
              <w:szCs w:val="36"/>
            </w:rPr>
            <w:fldChar w:fldCharType="separate"/>
          </w:r>
          <w:hyperlink w:anchor="_Toc96622369" w:history="1">
            <w:r>
              <w:rPr>
                <w:rFonts w:eastAsia="方正黑体_GBK" w:cs="宋体"/>
                <w:bCs/>
                <w:noProof/>
                <w:kern w:val="44"/>
                <w:szCs w:val="32"/>
              </w:rPr>
              <w:t>前</w:t>
            </w:r>
            <w:r>
              <w:rPr>
                <w:rFonts w:eastAsia="方正黑体_GBK" w:cs="宋体"/>
                <w:bCs/>
                <w:noProof/>
                <w:kern w:val="44"/>
                <w:szCs w:val="32"/>
              </w:rPr>
              <w:t xml:space="preserve">  </w:t>
            </w:r>
            <w:r>
              <w:rPr>
                <w:rFonts w:eastAsia="方正黑体_GBK" w:cs="宋体"/>
                <w:bCs/>
                <w:noProof/>
                <w:kern w:val="44"/>
                <w:szCs w:val="32"/>
              </w:rPr>
              <w:t>言</w:t>
            </w:r>
            <w:r>
              <w:rPr>
                <w:rFonts w:eastAsia="仿宋" w:cs="Times New Roman"/>
                <w:noProof/>
                <w:szCs w:val="32"/>
              </w:rPr>
              <w:tab/>
            </w:r>
            <w:r>
              <w:rPr>
                <w:rFonts w:eastAsia="仿宋" w:cs="Times New Roman"/>
                <w:noProof/>
                <w:szCs w:val="32"/>
              </w:rPr>
              <w:fldChar w:fldCharType="begin"/>
            </w:r>
            <w:r>
              <w:rPr>
                <w:rFonts w:eastAsia="仿宋" w:cs="Times New Roman"/>
                <w:noProof/>
                <w:szCs w:val="32"/>
              </w:rPr>
              <w:instrText xml:space="preserve"> PAGEREF _Toc96622369 \h </w:instrText>
            </w:r>
            <w:r>
              <w:rPr>
                <w:rFonts w:eastAsia="仿宋" w:cs="Times New Roman"/>
                <w:noProof/>
                <w:szCs w:val="32"/>
              </w:rPr>
            </w:r>
            <w:r>
              <w:rPr>
                <w:rFonts w:eastAsia="仿宋" w:cs="Times New Roman"/>
                <w:noProof/>
                <w:szCs w:val="32"/>
              </w:rPr>
              <w:fldChar w:fldCharType="separate"/>
            </w:r>
            <w:r w:rsidR="00510A32">
              <w:rPr>
                <w:rFonts w:eastAsia="仿宋" w:cs="Times New Roman"/>
                <w:noProof/>
                <w:szCs w:val="32"/>
              </w:rPr>
              <w:t>1</w:t>
            </w:r>
            <w:r>
              <w:rPr>
                <w:rFonts w:eastAsia="仿宋" w:cs="Times New Roman"/>
                <w:noProof/>
                <w:szCs w:val="32"/>
              </w:rPr>
              <w:fldChar w:fldCharType="end"/>
            </w:r>
          </w:hyperlink>
        </w:p>
        <w:p w14:paraId="0770F47A" w14:textId="4D4815A7" w:rsidR="001F2B4F" w:rsidRDefault="00000000">
          <w:pPr>
            <w:tabs>
              <w:tab w:val="right" w:leader="dot" w:pos="8296"/>
            </w:tabs>
            <w:overflowPunct w:val="0"/>
            <w:adjustRightInd w:val="0"/>
            <w:snapToGrid w:val="0"/>
            <w:spacing w:line="640" w:lineRule="exact"/>
            <w:rPr>
              <w:noProof/>
              <w:szCs w:val="32"/>
            </w:rPr>
          </w:pPr>
          <w:hyperlink w:anchor="_Toc96622370" w:history="1">
            <w:r>
              <w:rPr>
                <w:rFonts w:eastAsia="方正黑体_GBK" w:cs="宋体"/>
                <w:bCs/>
                <w:noProof/>
                <w:kern w:val="44"/>
                <w:szCs w:val="32"/>
              </w:rPr>
              <w:t>第一章</w:t>
            </w:r>
            <w:r>
              <w:rPr>
                <w:rFonts w:eastAsia="方正黑体_GBK" w:cs="宋体"/>
                <w:bCs/>
                <w:noProof/>
                <w:kern w:val="44"/>
                <w:szCs w:val="32"/>
              </w:rPr>
              <w:t xml:space="preserve">  </w:t>
            </w:r>
            <w:r>
              <w:rPr>
                <w:rFonts w:eastAsia="方正黑体_GBK" w:cs="宋体"/>
                <w:bCs/>
                <w:noProof/>
                <w:kern w:val="44"/>
                <w:szCs w:val="32"/>
              </w:rPr>
              <w:t>发展背景</w:t>
            </w:r>
            <w:r>
              <w:rPr>
                <w:rFonts w:eastAsia="仿宋" w:cs="Times New Roman"/>
                <w:noProof/>
                <w:szCs w:val="32"/>
              </w:rPr>
              <w:tab/>
            </w:r>
            <w:r>
              <w:rPr>
                <w:rFonts w:eastAsia="仿宋" w:cs="Times New Roman"/>
                <w:noProof/>
                <w:szCs w:val="32"/>
              </w:rPr>
              <w:fldChar w:fldCharType="begin"/>
            </w:r>
            <w:r>
              <w:rPr>
                <w:rFonts w:eastAsia="仿宋" w:cs="Times New Roman"/>
                <w:noProof/>
                <w:szCs w:val="32"/>
              </w:rPr>
              <w:instrText xml:space="preserve"> PAGEREF _Toc96622370 \h </w:instrText>
            </w:r>
            <w:r>
              <w:rPr>
                <w:rFonts w:eastAsia="仿宋" w:cs="Times New Roman"/>
                <w:noProof/>
                <w:szCs w:val="32"/>
              </w:rPr>
            </w:r>
            <w:r>
              <w:rPr>
                <w:rFonts w:eastAsia="仿宋" w:cs="Times New Roman"/>
                <w:noProof/>
                <w:szCs w:val="32"/>
              </w:rPr>
              <w:fldChar w:fldCharType="separate"/>
            </w:r>
            <w:r w:rsidR="00510A32">
              <w:rPr>
                <w:rFonts w:eastAsia="仿宋" w:cs="Times New Roman"/>
                <w:noProof/>
                <w:szCs w:val="32"/>
              </w:rPr>
              <w:t>2</w:t>
            </w:r>
            <w:r>
              <w:rPr>
                <w:rFonts w:eastAsia="仿宋" w:cs="Times New Roman"/>
                <w:noProof/>
                <w:szCs w:val="32"/>
              </w:rPr>
              <w:fldChar w:fldCharType="end"/>
            </w:r>
          </w:hyperlink>
        </w:p>
        <w:p w14:paraId="135F8DD1" w14:textId="25452088"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71" w:history="1">
            <w:r>
              <w:rPr>
                <w:rFonts w:eastAsia="方正楷体_GBK" w:cs="Times New Roman"/>
                <w:bCs/>
                <w:noProof/>
                <w:kern w:val="0"/>
                <w:szCs w:val="32"/>
              </w:rPr>
              <w:t>第一节</w:t>
            </w:r>
            <w:r>
              <w:rPr>
                <w:rFonts w:eastAsia="方正楷体_GBK" w:cs="Times New Roman"/>
                <w:bCs/>
                <w:noProof/>
                <w:kern w:val="0"/>
                <w:szCs w:val="32"/>
              </w:rPr>
              <w:t xml:space="preserve">  </w:t>
            </w:r>
            <w:r>
              <w:rPr>
                <w:rFonts w:eastAsia="方正楷体_GBK" w:cs="Times New Roman"/>
                <w:bCs/>
                <w:noProof/>
                <w:kern w:val="0"/>
                <w:szCs w:val="32"/>
              </w:rPr>
              <w:t>发展成效</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_Toc96622371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2</w:t>
            </w:r>
            <w:r>
              <w:rPr>
                <w:rFonts w:eastAsia="仿宋" w:cs="楷体_GB2312"/>
                <w:bCs/>
                <w:noProof/>
                <w:szCs w:val="32"/>
              </w:rPr>
              <w:fldChar w:fldCharType="end"/>
            </w:r>
          </w:hyperlink>
        </w:p>
        <w:p w14:paraId="53D045D2" w14:textId="0F977FA9"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72" w:history="1">
            <w:r>
              <w:rPr>
                <w:rFonts w:eastAsia="方正楷体_GBK" w:cs="Times New Roman"/>
                <w:bCs/>
                <w:noProof/>
                <w:kern w:val="0"/>
                <w:szCs w:val="32"/>
              </w:rPr>
              <w:t>第二节</w:t>
            </w:r>
            <w:r>
              <w:rPr>
                <w:rFonts w:eastAsia="方正楷体_GBK" w:cs="Times New Roman"/>
                <w:bCs/>
                <w:noProof/>
                <w:kern w:val="0"/>
                <w:szCs w:val="32"/>
              </w:rPr>
              <w:t xml:space="preserve">  </w:t>
            </w:r>
            <w:r>
              <w:rPr>
                <w:rFonts w:eastAsia="方正楷体_GBK" w:cs="Times New Roman"/>
                <w:bCs/>
                <w:noProof/>
                <w:kern w:val="0"/>
                <w:szCs w:val="32"/>
              </w:rPr>
              <w:t>发展形势</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_Toc96622372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6</w:t>
            </w:r>
            <w:r>
              <w:rPr>
                <w:rFonts w:eastAsia="仿宋" w:cs="楷体_GB2312"/>
                <w:bCs/>
                <w:noProof/>
                <w:szCs w:val="32"/>
              </w:rPr>
              <w:fldChar w:fldCharType="end"/>
            </w:r>
          </w:hyperlink>
        </w:p>
        <w:p w14:paraId="78135A49" w14:textId="72DA95BA" w:rsidR="001F2B4F" w:rsidRDefault="00000000">
          <w:pPr>
            <w:tabs>
              <w:tab w:val="right" w:leader="dot" w:pos="8296"/>
            </w:tabs>
            <w:overflowPunct w:val="0"/>
            <w:adjustRightInd w:val="0"/>
            <w:snapToGrid w:val="0"/>
            <w:spacing w:line="640" w:lineRule="exact"/>
            <w:rPr>
              <w:noProof/>
              <w:szCs w:val="32"/>
            </w:rPr>
          </w:pPr>
          <w:hyperlink w:anchor="_Toc96622373" w:history="1">
            <w:r>
              <w:rPr>
                <w:rFonts w:eastAsia="方正黑体_GBK" w:cs="宋体"/>
                <w:bCs/>
                <w:noProof/>
                <w:kern w:val="44"/>
                <w:szCs w:val="32"/>
              </w:rPr>
              <w:t>第二章</w:t>
            </w:r>
            <w:r>
              <w:rPr>
                <w:rFonts w:eastAsia="方正黑体_GBK" w:cs="宋体"/>
                <w:bCs/>
                <w:noProof/>
                <w:kern w:val="44"/>
                <w:szCs w:val="32"/>
              </w:rPr>
              <w:t xml:space="preserve">  </w:t>
            </w:r>
            <w:r>
              <w:rPr>
                <w:rFonts w:eastAsia="方正黑体_GBK" w:cs="宋体"/>
                <w:bCs/>
                <w:noProof/>
                <w:kern w:val="44"/>
                <w:szCs w:val="32"/>
              </w:rPr>
              <w:t>总体要求</w:t>
            </w:r>
            <w:r>
              <w:rPr>
                <w:rFonts w:eastAsia="仿宋" w:cs="Times New Roman"/>
                <w:noProof/>
                <w:szCs w:val="32"/>
              </w:rPr>
              <w:tab/>
            </w:r>
            <w:r>
              <w:rPr>
                <w:rFonts w:eastAsia="仿宋" w:cs="Times New Roman"/>
                <w:noProof/>
                <w:szCs w:val="32"/>
              </w:rPr>
              <w:fldChar w:fldCharType="begin"/>
            </w:r>
            <w:r>
              <w:rPr>
                <w:rFonts w:eastAsia="仿宋" w:cs="Times New Roman"/>
                <w:noProof/>
                <w:szCs w:val="32"/>
              </w:rPr>
              <w:instrText xml:space="preserve"> PAGEREF _Toc96622373 \h </w:instrText>
            </w:r>
            <w:r>
              <w:rPr>
                <w:rFonts w:eastAsia="仿宋" w:cs="Times New Roman"/>
                <w:noProof/>
                <w:szCs w:val="32"/>
              </w:rPr>
            </w:r>
            <w:r>
              <w:rPr>
                <w:rFonts w:eastAsia="仿宋" w:cs="Times New Roman"/>
                <w:noProof/>
                <w:szCs w:val="32"/>
              </w:rPr>
              <w:fldChar w:fldCharType="separate"/>
            </w:r>
            <w:r w:rsidR="00510A32">
              <w:rPr>
                <w:rFonts w:eastAsia="仿宋" w:cs="Times New Roman"/>
                <w:noProof/>
                <w:szCs w:val="32"/>
              </w:rPr>
              <w:t>7</w:t>
            </w:r>
            <w:r>
              <w:rPr>
                <w:rFonts w:eastAsia="仿宋" w:cs="Times New Roman"/>
                <w:noProof/>
                <w:szCs w:val="32"/>
              </w:rPr>
              <w:fldChar w:fldCharType="end"/>
            </w:r>
          </w:hyperlink>
        </w:p>
        <w:p w14:paraId="197B89EC" w14:textId="40A9B5AD"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74" w:history="1">
            <w:r>
              <w:rPr>
                <w:rFonts w:eastAsia="方正楷体_GBK" w:cs="Times New Roman"/>
                <w:bCs/>
                <w:noProof/>
                <w:kern w:val="0"/>
                <w:szCs w:val="32"/>
              </w:rPr>
              <w:t>第一节</w:t>
            </w:r>
            <w:r>
              <w:rPr>
                <w:rFonts w:eastAsia="方正楷体_GBK" w:cs="Times New Roman"/>
                <w:bCs/>
                <w:noProof/>
                <w:kern w:val="0"/>
                <w:szCs w:val="32"/>
              </w:rPr>
              <w:t xml:space="preserve">  </w:t>
            </w:r>
            <w:r>
              <w:rPr>
                <w:rFonts w:eastAsia="方正楷体_GBK" w:cs="Times New Roman"/>
                <w:bCs/>
                <w:noProof/>
                <w:kern w:val="0"/>
                <w:szCs w:val="32"/>
              </w:rPr>
              <w:t>指导思想</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_Toc96622374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7</w:t>
            </w:r>
            <w:r>
              <w:rPr>
                <w:rFonts w:eastAsia="仿宋" w:cs="楷体_GB2312"/>
                <w:bCs/>
                <w:noProof/>
                <w:szCs w:val="32"/>
              </w:rPr>
              <w:fldChar w:fldCharType="end"/>
            </w:r>
          </w:hyperlink>
        </w:p>
        <w:p w14:paraId="3366EFB0" w14:textId="55CBCDBC"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75" w:history="1">
            <w:r>
              <w:rPr>
                <w:rFonts w:eastAsia="方正楷体_GBK" w:cs="Times New Roman"/>
                <w:bCs/>
                <w:noProof/>
                <w:kern w:val="0"/>
                <w:szCs w:val="32"/>
              </w:rPr>
              <w:t>第二节</w:t>
            </w:r>
            <w:r>
              <w:rPr>
                <w:rFonts w:eastAsia="方正楷体_GBK" w:cs="Times New Roman"/>
                <w:bCs/>
                <w:noProof/>
                <w:kern w:val="0"/>
                <w:szCs w:val="32"/>
              </w:rPr>
              <w:t xml:space="preserve">  </w:t>
            </w:r>
            <w:r>
              <w:rPr>
                <w:rFonts w:eastAsia="方正楷体_GBK" w:cs="Times New Roman"/>
                <w:bCs/>
                <w:noProof/>
                <w:kern w:val="0"/>
                <w:szCs w:val="32"/>
              </w:rPr>
              <w:t>基本原则</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_Toc96622375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8</w:t>
            </w:r>
            <w:r>
              <w:rPr>
                <w:rFonts w:eastAsia="仿宋" w:cs="楷体_GB2312"/>
                <w:bCs/>
                <w:noProof/>
                <w:szCs w:val="32"/>
              </w:rPr>
              <w:fldChar w:fldCharType="end"/>
            </w:r>
          </w:hyperlink>
        </w:p>
        <w:p w14:paraId="0F05FB52" w14:textId="59E0695B"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76" w:history="1">
            <w:r>
              <w:rPr>
                <w:rFonts w:eastAsia="方正楷体_GBK" w:cs="Times New Roman"/>
                <w:bCs/>
                <w:noProof/>
                <w:kern w:val="0"/>
                <w:szCs w:val="32"/>
              </w:rPr>
              <w:t>第三节</w:t>
            </w:r>
            <w:r>
              <w:rPr>
                <w:rFonts w:eastAsia="方正楷体_GBK" w:cs="Times New Roman"/>
                <w:bCs/>
                <w:noProof/>
                <w:kern w:val="0"/>
                <w:szCs w:val="32"/>
              </w:rPr>
              <w:t xml:space="preserve">  </w:t>
            </w:r>
            <w:r>
              <w:rPr>
                <w:rFonts w:eastAsia="方正楷体_GBK" w:cs="Times New Roman"/>
                <w:bCs/>
                <w:noProof/>
                <w:kern w:val="0"/>
                <w:szCs w:val="32"/>
              </w:rPr>
              <w:t>发展目标</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_Toc96622376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8</w:t>
            </w:r>
            <w:r>
              <w:rPr>
                <w:rFonts w:eastAsia="仿宋" w:cs="楷体_GB2312"/>
                <w:bCs/>
                <w:noProof/>
                <w:szCs w:val="32"/>
              </w:rPr>
              <w:fldChar w:fldCharType="end"/>
            </w:r>
          </w:hyperlink>
        </w:p>
        <w:p w14:paraId="73873E18" w14:textId="785DE12E" w:rsidR="001F2B4F" w:rsidRDefault="00000000">
          <w:pPr>
            <w:tabs>
              <w:tab w:val="right" w:leader="dot" w:pos="8296"/>
            </w:tabs>
            <w:overflowPunct w:val="0"/>
            <w:adjustRightInd w:val="0"/>
            <w:snapToGrid w:val="0"/>
            <w:spacing w:line="640" w:lineRule="exact"/>
            <w:rPr>
              <w:noProof/>
              <w:szCs w:val="32"/>
            </w:rPr>
          </w:pPr>
          <w:hyperlink w:anchor="_Toc96622377" w:history="1">
            <w:r>
              <w:rPr>
                <w:rFonts w:eastAsia="方正黑体_GBK" w:cs="宋体"/>
                <w:bCs/>
                <w:noProof/>
                <w:kern w:val="44"/>
                <w:szCs w:val="32"/>
              </w:rPr>
              <w:t>第三章</w:t>
            </w:r>
            <w:r>
              <w:rPr>
                <w:rFonts w:eastAsia="方正黑体_GBK" w:cs="宋体"/>
                <w:bCs/>
                <w:noProof/>
                <w:kern w:val="44"/>
                <w:szCs w:val="32"/>
              </w:rPr>
              <w:t xml:space="preserve">  </w:t>
            </w:r>
            <w:r>
              <w:rPr>
                <w:rFonts w:eastAsia="方正黑体_GBK" w:cs="宋体"/>
                <w:bCs/>
                <w:noProof/>
                <w:kern w:val="44"/>
                <w:szCs w:val="32"/>
              </w:rPr>
              <w:t>重点任务</w:t>
            </w:r>
            <w:r>
              <w:rPr>
                <w:rFonts w:eastAsia="仿宋" w:cs="Times New Roman"/>
                <w:noProof/>
                <w:szCs w:val="32"/>
              </w:rPr>
              <w:tab/>
            </w:r>
            <w:r>
              <w:rPr>
                <w:rFonts w:eastAsia="仿宋" w:cs="Times New Roman"/>
                <w:noProof/>
                <w:szCs w:val="32"/>
              </w:rPr>
              <w:fldChar w:fldCharType="begin"/>
            </w:r>
            <w:r>
              <w:rPr>
                <w:rFonts w:eastAsia="仿宋" w:cs="Times New Roman"/>
                <w:noProof/>
                <w:szCs w:val="32"/>
              </w:rPr>
              <w:instrText xml:space="preserve"> PAGEREF _Toc96622377 \h </w:instrText>
            </w:r>
            <w:r>
              <w:rPr>
                <w:rFonts w:eastAsia="仿宋" w:cs="Times New Roman"/>
                <w:noProof/>
                <w:szCs w:val="32"/>
              </w:rPr>
            </w:r>
            <w:r>
              <w:rPr>
                <w:rFonts w:eastAsia="仿宋" w:cs="Times New Roman"/>
                <w:noProof/>
                <w:szCs w:val="32"/>
              </w:rPr>
              <w:fldChar w:fldCharType="separate"/>
            </w:r>
            <w:r w:rsidR="00510A32">
              <w:rPr>
                <w:rFonts w:eastAsia="仿宋" w:cs="Times New Roman"/>
                <w:noProof/>
                <w:szCs w:val="32"/>
              </w:rPr>
              <w:t>11</w:t>
            </w:r>
            <w:r>
              <w:rPr>
                <w:rFonts w:eastAsia="仿宋" w:cs="Times New Roman"/>
                <w:noProof/>
                <w:szCs w:val="32"/>
              </w:rPr>
              <w:fldChar w:fldCharType="end"/>
            </w:r>
          </w:hyperlink>
        </w:p>
        <w:p w14:paraId="26661F99" w14:textId="13EC4D01"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78" w:history="1">
            <w:r>
              <w:rPr>
                <w:rFonts w:eastAsia="方正楷体_GBK" w:cs="Times New Roman"/>
                <w:bCs/>
                <w:noProof/>
                <w:kern w:val="0"/>
                <w:szCs w:val="32"/>
              </w:rPr>
              <w:t>第一节</w:t>
            </w:r>
            <w:r>
              <w:rPr>
                <w:rFonts w:eastAsia="方正楷体_GBK" w:cs="Times New Roman"/>
                <w:bCs/>
                <w:noProof/>
                <w:kern w:val="0"/>
                <w:szCs w:val="32"/>
              </w:rPr>
              <w:t xml:space="preserve">  </w:t>
            </w:r>
            <w:r>
              <w:rPr>
                <w:rFonts w:eastAsia="方正楷体_GBK" w:cs="Times New Roman"/>
                <w:bCs/>
                <w:noProof/>
                <w:kern w:val="0"/>
                <w:szCs w:val="32"/>
              </w:rPr>
              <w:t>塑造会展业新格局</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_Toc96622378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11</w:t>
            </w:r>
            <w:r>
              <w:rPr>
                <w:rFonts w:eastAsia="仿宋" w:cs="楷体_GB2312"/>
                <w:bCs/>
                <w:noProof/>
                <w:szCs w:val="32"/>
              </w:rPr>
              <w:fldChar w:fldCharType="end"/>
            </w:r>
          </w:hyperlink>
        </w:p>
        <w:p w14:paraId="36D6F43E" w14:textId="63BCF049"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79" w:history="1">
            <w:r>
              <w:rPr>
                <w:rFonts w:eastAsia="方正楷体_GBK" w:cs="Times New Roman"/>
                <w:bCs/>
                <w:noProof/>
                <w:kern w:val="0"/>
                <w:szCs w:val="32"/>
              </w:rPr>
              <w:t>第二节</w:t>
            </w:r>
            <w:r>
              <w:rPr>
                <w:rFonts w:eastAsia="方正楷体_GBK" w:cs="Times New Roman"/>
                <w:bCs/>
                <w:noProof/>
                <w:kern w:val="0"/>
                <w:szCs w:val="32"/>
              </w:rPr>
              <w:t xml:space="preserve">  </w:t>
            </w:r>
            <w:r>
              <w:rPr>
                <w:rFonts w:eastAsia="方正楷体_GBK" w:cs="Times New Roman"/>
                <w:bCs/>
                <w:noProof/>
                <w:kern w:val="0"/>
                <w:szCs w:val="32"/>
              </w:rPr>
              <w:t>构建会展业新生态</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_Toc96622379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11</w:t>
            </w:r>
            <w:r>
              <w:rPr>
                <w:rFonts w:eastAsia="仿宋" w:cs="楷体_GB2312"/>
                <w:bCs/>
                <w:noProof/>
                <w:szCs w:val="32"/>
              </w:rPr>
              <w:fldChar w:fldCharType="end"/>
            </w:r>
          </w:hyperlink>
        </w:p>
        <w:p w14:paraId="6F64C92F" w14:textId="57C7A725"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0" w:history="1">
            <w:r>
              <w:rPr>
                <w:rFonts w:eastAsia="方正楷体_GBK" w:cs="Times New Roman"/>
                <w:bCs/>
                <w:noProof/>
                <w:kern w:val="0"/>
                <w:szCs w:val="32"/>
              </w:rPr>
              <w:t>第三节</w:t>
            </w:r>
            <w:r>
              <w:rPr>
                <w:rFonts w:eastAsia="方正楷体_GBK" w:cs="Times New Roman"/>
                <w:bCs/>
                <w:noProof/>
                <w:kern w:val="0"/>
                <w:szCs w:val="32"/>
              </w:rPr>
              <w:t xml:space="preserve">  </w:t>
            </w:r>
            <w:r>
              <w:rPr>
                <w:rFonts w:eastAsia="方正楷体_GBK" w:cs="Times New Roman"/>
                <w:bCs/>
                <w:noProof/>
                <w:kern w:val="0"/>
                <w:szCs w:val="32"/>
              </w:rPr>
              <w:t>培育会展业新动能</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_Toc96622380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18</w:t>
            </w:r>
            <w:r>
              <w:rPr>
                <w:rFonts w:eastAsia="仿宋" w:cs="楷体_GB2312"/>
                <w:bCs/>
                <w:noProof/>
                <w:szCs w:val="32"/>
              </w:rPr>
              <w:fldChar w:fldCharType="end"/>
            </w:r>
          </w:hyperlink>
        </w:p>
        <w:p w14:paraId="0887080A" w14:textId="171668BA"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1" w:history="1">
            <w:r>
              <w:rPr>
                <w:rFonts w:eastAsia="方正楷体_GBK" w:cs="Times New Roman"/>
                <w:bCs/>
                <w:noProof/>
                <w:kern w:val="0"/>
                <w:szCs w:val="32"/>
              </w:rPr>
              <w:t>第四节</w:t>
            </w:r>
            <w:r>
              <w:rPr>
                <w:rFonts w:eastAsia="方正楷体_GBK" w:cs="Times New Roman"/>
                <w:bCs/>
                <w:noProof/>
                <w:kern w:val="0"/>
                <w:szCs w:val="32"/>
              </w:rPr>
              <w:t xml:space="preserve">  </w:t>
            </w:r>
            <w:r>
              <w:rPr>
                <w:rFonts w:eastAsia="方正楷体_GBK" w:cs="Times New Roman"/>
                <w:bCs/>
                <w:noProof/>
                <w:kern w:val="0"/>
                <w:szCs w:val="32"/>
              </w:rPr>
              <w:t>推动展产融合发展</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_Toc96622381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26</w:t>
            </w:r>
            <w:r>
              <w:rPr>
                <w:rFonts w:eastAsia="仿宋" w:cs="楷体_GB2312"/>
                <w:bCs/>
                <w:noProof/>
                <w:szCs w:val="32"/>
              </w:rPr>
              <w:fldChar w:fldCharType="end"/>
            </w:r>
          </w:hyperlink>
        </w:p>
        <w:p w14:paraId="3F4C13C4" w14:textId="445951DF"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2" w:history="1">
            <w:r>
              <w:rPr>
                <w:rFonts w:eastAsia="方正楷体_GBK" w:cs="Times New Roman"/>
                <w:bCs/>
                <w:noProof/>
                <w:kern w:val="0"/>
                <w:szCs w:val="32"/>
              </w:rPr>
              <w:t>第五节</w:t>
            </w:r>
            <w:r>
              <w:rPr>
                <w:rFonts w:eastAsia="方正楷体_GBK" w:cs="Times New Roman"/>
                <w:bCs/>
                <w:noProof/>
                <w:kern w:val="0"/>
                <w:szCs w:val="32"/>
              </w:rPr>
              <w:t xml:space="preserve">  </w:t>
            </w:r>
            <w:r>
              <w:rPr>
                <w:rFonts w:eastAsia="方正楷体_GBK" w:cs="Times New Roman"/>
                <w:bCs/>
                <w:noProof/>
                <w:kern w:val="0"/>
                <w:szCs w:val="32"/>
              </w:rPr>
              <w:t>促进会展业开放合作</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_Toc96622382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27</w:t>
            </w:r>
            <w:r>
              <w:rPr>
                <w:rFonts w:eastAsia="仿宋" w:cs="楷体_GB2312"/>
                <w:bCs/>
                <w:noProof/>
                <w:szCs w:val="32"/>
              </w:rPr>
              <w:fldChar w:fldCharType="end"/>
            </w:r>
          </w:hyperlink>
        </w:p>
        <w:p w14:paraId="649F1F84" w14:textId="657A2D6A"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3" w:history="1">
            <w:r>
              <w:rPr>
                <w:rFonts w:eastAsia="方正楷体_GBK" w:cs="Times New Roman"/>
                <w:bCs/>
                <w:noProof/>
                <w:kern w:val="0"/>
                <w:szCs w:val="32"/>
              </w:rPr>
              <w:t>第六节</w:t>
            </w:r>
            <w:r>
              <w:rPr>
                <w:rFonts w:eastAsia="方正楷体_GBK" w:cs="Times New Roman"/>
                <w:bCs/>
                <w:noProof/>
                <w:kern w:val="0"/>
                <w:szCs w:val="32"/>
              </w:rPr>
              <w:t xml:space="preserve">  </w:t>
            </w:r>
            <w:r>
              <w:rPr>
                <w:rFonts w:eastAsia="方正楷体_GBK" w:cs="Times New Roman"/>
                <w:bCs/>
                <w:noProof/>
                <w:kern w:val="0"/>
                <w:szCs w:val="32"/>
              </w:rPr>
              <w:t>完善会展业配套服务</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_Toc96622383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29</w:t>
            </w:r>
            <w:r>
              <w:rPr>
                <w:rFonts w:eastAsia="仿宋" w:cs="楷体_GB2312"/>
                <w:bCs/>
                <w:noProof/>
                <w:szCs w:val="32"/>
              </w:rPr>
              <w:fldChar w:fldCharType="end"/>
            </w:r>
          </w:hyperlink>
        </w:p>
        <w:p w14:paraId="4788F893" w14:textId="2DA3F178" w:rsidR="001F2B4F" w:rsidRDefault="00000000">
          <w:pPr>
            <w:tabs>
              <w:tab w:val="right" w:leader="dot" w:pos="8296"/>
            </w:tabs>
            <w:overflowPunct w:val="0"/>
            <w:adjustRightInd w:val="0"/>
            <w:snapToGrid w:val="0"/>
            <w:spacing w:line="640" w:lineRule="exact"/>
            <w:rPr>
              <w:noProof/>
              <w:szCs w:val="32"/>
            </w:rPr>
          </w:pPr>
          <w:hyperlink w:anchor="_Toc96622384" w:history="1">
            <w:r>
              <w:rPr>
                <w:rFonts w:eastAsia="方正黑体_GBK" w:cs="宋体"/>
                <w:bCs/>
                <w:noProof/>
                <w:kern w:val="44"/>
                <w:szCs w:val="32"/>
              </w:rPr>
              <w:t>第四章</w:t>
            </w:r>
            <w:r>
              <w:rPr>
                <w:rFonts w:eastAsia="方正黑体_GBK" w:cs="宋体"/>
                <w:bCs/>
                <w:noProof/>
                <w:kern w:val="44"/>
                <w:szCs w:val="32"/>
              </w:rPr>
              <w:t xml:space="preserve">  </w:t>
            </w:r>
            <w:r>
              <w:rPr>
                <w:rFonts w:eastAsia="方正黑体_GBK" w:cs="宋体"/>
                <w:bCs/>
                <w:noProof/>
                <w:kern w:val="44"/>
                <w:szCs w:val="32"/>
              </w:rPr>
              <w:t>实施保障</w:t>
            </w:r>
            <w:r>
              <w:rPr>
                <w:rFonts w:eastAsia="仿宋" w:cs="Times New Roman"/>
                <w:noProof/>
                <w:szCs w:val="32"/>
              </w:rPr>
              <w:tab/>
            </w:r>
            <w:r>
              <w:rPr>
                <w:rFonts w:eastAsia="仿宋" w:cs="Times New Roman"/>
                <w:noProof/>
                <w:szCs w:val="32"/>
              </w:rPr>
              <w:fldChar w:fldCharType="begin"/>
            </w:r>
            <w:r>
              <w:rPr>
                <w:rFonts w:eastAsia="仿宋" w:cs="Times New Roman"/>
                <w:noProof/>
                <w:szCs w:val="32"/>
              </w:rPr>
              <w:instrText xml:space="preserve"> PAGEREF _Toc96622384 \h </w:instrText>
            </w:r>
            <w:r>
              <w:rPr>
                <w:rFonts w:eastAsia="仿宋" w:cs="Times New Roman"/>
                <w:noProof/>
                <w:szCs w:val="32"/>
              </w:rPr>
            </w:r>
            <w:r>
              <w:rPr>
                <w:rFonts w:eastAsia="仿宋" w:cs="Times New Roman"/>
                <w:noProof/>
                <w:szCs w:val="32"/>
              </w:rPr>
              <w:fldChar w:fldCharType="separate"/>
            </w:r>
            <w:r w:rsidR="00510A32">
              <w:rPr>
                <w:rFonts w:eastAsia="仿宋" w:cs="Times New Roman"/>
                <w:noProof/>
                <w:szCs w:val="32"/>
              </w:rPr>
              <w:t>30</w:t>
            </w:r>
            <w:r>
              <w:rPr>
                <w:rFonts w:eastAsia="仿宋" w:cs="Times New Roman"/>
                <w:noProof/>
                <w:szCs w:val="32"/>
              </w:rPr>
              <w:fldChar w:fldCharType="end"/>
            </w:r>
          </w:hyperlink>
        </w:p>
        <w:p w14:paraId="6CB4EF46" w14:textId="3358333E"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5" w:history="1">
            <w:r>
              <w:rPr>
                <w:rFonts w:eastAsia="方正楷体_GBK" w:cs="Times New Roman"/>
                <w:bCs/>
                <w:noProof/>
                <w:kern w:val="0"/>
                <w:szCs w:val="32"/>
              </w:rPr>
              <w:t>第一节</w:t>
            </w:r>
            <w:r>
              <w:rPr>
                <w:rFonts w:eastAsia="方正楷体_GBK" w:cs="Times New Roman"/>
                <w:bCs/>
                <w:noProof/>
                <w:kern w:val="0"/>
                <w:szCs w:val="32"/>
              </w:rPr>
              <w:t xml:space="preserve">  </w:t>
            </w:r>
            <w:r>
              <w:rPr>
                <w:rFonts w:eastAsia="方正楷体_GBK" w:cs="Times New Roman"/>
                <w:bCs/>
                <w:noProof/>
                <w:kern w:val="0"/>
                <w:szCs w:val="32"/>
              </w:rPr>
              <w:t>健全体制机制</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_Toc96622385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31</w:t>
            </w:r>
            <w:r>
              <w:rPr>
                <w:rFonts w:eastAsia="仿宋" w:cs="楷体_GB2312"/>
                <w:bCs/>
                <w:noProof/>
                <w:szCs w:val="32"/>
              </w:rPr>
              <w:fldChar w:fldCharType="end"/>
            </w:r>
          </w:hyperlink>
        </w:p>
        <w:p w14:paraId="744C4265" w14:textId="35F7A55F"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6" w:history="1">
            <w:r>
              <w:rPr>
                <w:rFonts w:eastAsia="方正楷体_GBK" w:cs="Times New Roman"/>
                <w:bCs/>
                <w:noProof/>
                <w:kern w:val="0"/>
                <w:szCs w:val="32"/>
              </w:rPr>
              <w:t>第二节</w:t>
            </w:r>
            <w:r>
              <w:rPr>
                <w:rFonts w:eastAsia="方正楷体_GBK" w:cs="Times New Roman"/>
                <w:bCs/>
                <w:noProof/>
                <w:kern w:val="0"/>
                <w:szCs w:val="32"/>
              </w:rPr>
              <w:t xml:space="preserve">  </w:t>
            </w:r>
            <w:r>
              <w:rPr>
                <w:rFonts w:eastAsia="方正楷体_GBK" w:cs="Times New Roman"/>
                <w:bCs/>
                <w:noProof/>
                <w:kern w:val="0"/>
                <w:szCs w:val="32"/>
              </w:rPr>
              <w:t>完善政策体系</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_Toc96622386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31</w:t>
            </w:r>
            <w:r>
              <w:rPr>
                <w:rFonts w:eastAsia="仿宋" w:cs="楷体_GB2312"/>
                <w:bCs/>
                <w:noProof/>
                <w:szCs w:val="32"/>
              </w:rPr>
              <w:fldChar w:fldCharType="end"/>
            </w:r>
          </w:hyperlink>
        </w:p>
        <w:p w14:paraId="2C9C012C" w14:textId="48DE54B6"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7" w:history="1">
            <w:r>
              <w:rPr>
                <w:rFonts w:eastAsia="方正楷体_GBK" w:cs="Times New Roman"/>
                <w:bCs/>
                <w:noProof/>
                <w:kern w:val="0"/>
                <w:szCs w:val="32"/>
              </w:rPr>
              <w:t>第三节</w:t>
            </w:r>
            <w:r>
              <w:rPr>
                <w:rFonts w:eastAsia="方正楷体_GBK" w:cs="Times New Roman"/>
                <w:bCs/>
                <w:noProof/>
                <w:kern w:val="0"/>
                <w:szCs w:val="32"/>
              </w:rPr>
              <w:t xml:space="preserve">  </w:t>
            </w:r>
            <w:r>
              <w:rPr>
                <w:rFonts w:eastAsia="方正楷体_GBK" w:cs="Times New Roman"/>
                <w:bCs/>
                <w:noProof/>
                <w:kern w:val="0"/>
                <w:szCs w:val="32"/>
              </w:rPr>
              <w:t>提升营商环境</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_Toc96622387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32</w:t>
            </w:r>
            <w:r>
              <w:rPr>
                <w:rFonts w:eastAsia="仿宋" w:cs="楷体_GB2312"/>
                <w:bCs/>
                <w:noProof/>
                <w:szCs w:val="32"/>
              </w:rPr>
              <w:fldChar w:fldCharType="end"/>
            </w:r>
          </w:hyperlink>
        </w:p>
        <w:p w14:paraId="77E5BEC9" w14:textId="74AAB765" w:rsidR="001F2B4F" w:rsidRDefault="00000000">
          <w:pPr>
            <w:tabs>
              <w:tab w:val="right" w:leader="dot" w:pos="8296"/>
            </w:tabs>
            <w:overflowPunct w:val="0"/>
            <w:adjustRightInd w:val="0"/>
            <w:snapToGrid w:val="0"/>
            <w:spacing w:line="640" w:lineRule="exact"/>
            <w:ind w:firstLineChars="200" w:firstLine="632"/>
            <w:rPr>
              <w:noProof/>
              <w:szCs w:val="32"/>
            </w:rPr>
          </w:pPr>
          <w:hyperlink w:anchor="_Toc96622388" w:history="1">
            <w:r>
              <w:rPr>
                <w:rFonts w:eastAsia="方正楷体_GBK" w:cs="Times New Roman"/>
                <w:bCs/>
                <w:noProof/>
                <w:kern w:val="0"/>
                <w:szCs w:val="32"/>
              </w:rPr>
              <w:t>第四节</w:t>
            </w:r>
            <w:r>
              <w:rPr>
                <w:rFonts w:eastAsia="方正楷体_GBK" w:cs="Times New Roman"/>
                <w:bCs/>
                <w:noProof/>
                <w:kern w:val="0"/>
                <w:szCs w:val="32"/>
              </w:rPr>
              <w:t xml:space="preserve">  </w:t>
            </w:r>
            <w:r>
              <w:rPr>
                <w:rFonts w:eastAsia="方正楷体_GBK" w:cs="Times New Roman"/>
                <w:bCs/>
                <w:noProof/>
                <w:kern w:val="0"/>
                <w:szCs w:val="32"/>
              </w:rPr>
              <w:t>加强安全防控</w:t>
            </w:r>
            <w:r>
              <w:rPr>
                <w:rFonts w:eastAsia="仿宋" w:cs="楷体_GB2312"/>
                <w:bCs/>
                <w:noProof/>
                <w:szCs w:val="32"/>
              </w:rPr>
              <w:tab/>
            </w:r>
            <w:r>
              <w:rPr>
                <w:rFonts w:eastAsia="仿宋" w:cs="楷体_GB2312"/>
                <w:bCs/>
                <w:noProof/>
                <w:szCs w:val="32"/>
              </w:rPr>
              <w:fldChar w:fldCharType="begin"/>
            </w:r>
            <w:r>
              <w:rPr>
                <w:rFonts w:eastAsia="仿宋" w:cs="楷体_GB2312"/>
                <w:bCs/>
                <w:noProof/>
                <w:szCs w:val="32"/>
              </w:rPr>
              <w:instrText xml:space="preserve"> PAGEREF _Toc96622388 \h </w:instrText>
            </w:r>
            <w:r>
              <w:rPr>
                <w:rFonts w:eastAsia="仿宋" w:cs="楷体_GB2312"/>
                <w:bCs/>
                <w:noProof/>
                <w:szCs w:val="32"/>
              </w:rPr>
            </w:r>
            <w:r>
              <w:rPr>
                <w:rFonts w:eastAsia="仿宋" w:cs="楷体_GB2312"/>
                <w:bCs/>
                <w:noProof/>
                <w:szCs w:val="32"/>
              </w:rPr>
              <w:fldChar w:fldCharType="separate"/>
            </w:r>
            <w:r w:rsidR="00510A32">
              <w:rPr>
                <w:rFonts w:eastAsia="仿宋" w:cs="楷体_GB2312"/>
                <w:bCs/>
                <w:noProof/>
                <w:szCs w:val="32"/>
              </w:rPr>
              <w:t>33</w:t>
            </w:r>
            <w:r>
              <w:rPr>
                <w:rFonts w:eastAsia="仿宋" w:cs="楷体_GB2312"/>
                <w:bCs/>
                <w:noProof/>
                <w:szCs w:val="32"/>
              </w:rPr>
              <w:fldChar w:fldCharType="end"/>
            </w:r>
          </w:hyperlink>
        </w:p>
        <w:p w14:paraId="43D52200" w14:textId="4E3EE470" w:rsidR="001F2B4F" w:rsidRDefault="00000000">
          <w:pPr>
            <w:tabs>
              <w:tab w:val="right" w:leader="dot" w:pos="8296"/>
            </w:tabs>
            <w:overflowPunct w:val="0"/>
            <w:adjustRightInd w:val="0"/>
            <w:snapToGrid w:val="0"/>
            <w:spacing w:line="640" w:lineRule="exact"/>
            <w:rPr>
              <w:rFonts w:eastAsia="方正黑体_GBK" w:cs="宋体"/>
              <w:bCs/>
              <w:noProof/>
              <w:kern w:val="44"/>
              <w:szCs w:val="32"/>
            </w:rPr>
          </w:pPr>
          <w:hyperlink w:anchor="_Toc96622389" w:history="1">
            <w:r>
              <w:rPr>
                <w:rFonts w:eastAsia="方正黑体_GBK" w:cs="宋体"/>
                <w:bCs/>
                <w:noProof/>
                <w:kern w:val="44"/>
                <w:szCs w:val="32"/>
              </w:rPr>
              <w:t>附件</w:t>
            </w:r>
            <w:r>
              <w:rPr>
                <w:rFonts w:eastAsia="方正黑体_GBK" w:cs="宋体"/>
                <w:bCs/>
                <w:noProof/>
                <w:kern w:val="44"/>
                <w:szCs w:val="32"/>
              </w:rPr>
              <w:t xml:space="preserve">1  </w:t>
            </w:r>
          </w:hyperlink>
          <w:hyperlink w:anchor="_Toc96622390" w:history="1">
            <w:r>
              <w:rPr>
                <w:rFonts w:eastAsia="方正黑体_GBK" w:cs="宋体"/>
                <w:bCs/>
                <w:noProof/>
                <w:kern w:val="44"/>
                <w:szCs w:val="32"/>
              </w:rPr>
              <w:t>名词解释</w:t>
            </w:r>
            <w:r>
              <w:rPr>
                <w:rFonts w:eastAsia="方正黑体_GBK" w:cs="宋体"/>
                <w:bCs/>
                <w:noProof/>
                <w:kern w:val="44"/>
                <w:szCs w:val="32"/>
              </w:rPr>
              <w:tab/>
            </w:r>
            <w:r>
              <w:rPr>
                <w:rFonts w:eastAsia="方正黑体_GBK" w:cs="宋体"/>
                <w:bCs/>
                <w:noProof/>
                <w:kern w:val="44"/>
                <w:szCs w:val="32"/>
              </w:rPr>
              <w:fldChar w:fldCharType="begin"/>
            </w:r>
            <w:r>
              <w:rPr>
                <w:rFonts w:eastAsia="方正黑体_GBK" w:cs="宋体"/>
                <w:bCs/>
                <w:noProof/>
                <w:kern w:val="44"/>
                <w:szCs w:val="32"/>
              </w:rPr>
              <w:instrText xml:space="preserve"> PAGEREF _Toc96622390 \h </w:instrText>
            </w:r>
            <w:r>
              <w:rPr>
                <w:rFonts w:eastAsia="方正黑体_GBK" w:cs="宋体"/>
                <w:bCs/>
                <w:noProof/>
                <w:kern w:val="44"/>
                <w:szCs w:val="32"/>
              </w:rPr>
            </w:r>
            <w:r>
              <w:rPr>
                <w:rFonts w:eastAsia="方正黑体_GBK" w:cs="宋体"/>
                <w:bCs/>
                <w:noProof/>
                <w:kern w:val="44"/>
                <w:szCs w:val="32"/>
              </w:rPr>
              <w:fldChar w:fldCharType="separate"/>
            </w:r>
            <w:r w:rsidR="00510A32">
              <w:rPr>
                <w:rFonts w:eastAsia="方正黑体_GBK" w:cs="宋体"/>
                <w:bCs/>
                <w:noProof/>
                <w:kern w:val="44"/>
                <w:szCs w:val="32"/>
              </w:rPr>
              <w:t>35</w:t>
            </w:r>
            <w:r>
              <w:rPr>
                <w:rFonts w:eastAsia="方正黑体_GBK" w:cs="宋体"/>
                <w:bCs/>
                <w:noProof/>
                <w:kern w:val="44"/>
                <w:szCs w:val="32"/>
              </w:rPr>
              <w:fldChar w:fldCharType="end"/>
            </w:r>
          </w:hyperlink>
        </w:p>
        <w:p w14:paraId="628632F0" w14:textId="544CCEB9" w:rsidR="001F2B4F" w:rsidRDefault="00000000">
          <w:pPr>
            <w:tabs>
              <w:tab w:val="right" w:leader="dot" w:pos="8296"/>
            </w:tabs>
            <w:overflowPunct w:val="0"/>
            <w:adjustRightInd w:val="0"/>
            <w:snapToGrid w:val="0"/>
            <w:spacing w:line="640" w:lineRule="exact"/>
            <w:rPr>
              <w:rFonts w:eastAsia="方正黑体_GBK" w:cs="宋体"/>
              <w:bCs/>
              <w:noProof/>
              <w:kern w:val="44"/>
              <w:sz w:val="36"/>
              <w:szCs w:val="36"/>
            </w:rPr>
          </w:pPr>
          <w:hyperlink w:anchor="_Toc96622391" w:history="1">
            <w:r>
              <w:rPr>
                <w:rFonts w:eastAsia="方正黑体_GBK" w:cs="宋体"/>
                <w:bCs/>
                <w:noProof/>
                <w:kern w:val="44"/>
                <w:szCs w:val="32"/>
              </w:rPr>
              <w:t>附件</w:t>
            </w:r>
            <w:r>
              <w:rPr>
                <w:rFonts w:eastAsia="方正黑体_GBK" w:cs="宋体"/>
                <w:bCs/>
                <w:noProof/>
                <w:kern w:val="44"/>
                <w:szCs w:val="32"/>
              </w:rPr>
              <w:t xml:space="preserve">2  </w:t>
            </w:r>
          </w:hyperlink>
          <w:hyperlink w:anchor="_Toc96622392" w:history="1">
            <w:r>
              <w:rPr>
                <w:rFonts w:eastAsia="方正黑体_GBK" w:cs="宋体"/>
                <w:bCs/>
                <w:noProof/>
                <w:kern w:val="44"/>
                <w:szCs w:val="32"/>
              </w:rPr>
              <w:t>成都市</w:t>
            </w:r>
            <w:r>
              <w:rPr>
                <w:rFonts w:eastAsia="方正黑体_GBK" w:cs="宋体" w:hint="eastAsia"/>
                <w:bCs/>
                <w:noProof/>
                <w:kern w:val="44"/>
                <w:szCs w:val="32"/>
              </w:rPr>
              <w:t>建圈强链重点培育展会方向</w:t>
            </w:r>
            <w:r>
              <w:rPr>
                <w:rFonts w:eastAsia="方正黑体_GBK" w:cs="宋体"/>
                <w:bCs/>
                <w:noProof/>
                <w:kern w:val="44"/>
                <w:szCs w:val="32"/>
              </w:rPr>
              <w:tab/>
            </w:r>
            <w:r>
              <w:rPr>
                <w:rFonts w:eastAsia="方正黑体_GBK" w:cs="宋体"/>
                <w:bCs/>
                <w:noProof/>
                <w:kern w:val="44"/>
                <w:szCs w:val="32"/>
              </w:rPr>
              <w:fldChar w:fldCharType="begin"/>
            </w:r>
            <w:r>
              <w:rPr>
                <w:rFonts w:eastAsia="方正黑体_GBK" w:cs="宋体"/>
                <w:bCs/>
                <w:noProof/>
                <w:kern w:val="44"/>
                <w:szCs w:val="32"/>
              </w:rPr>
              <w:instrText xml:space="preserve"> PAGEREF _Toc96622392 \h </w:instrText>
            </w:r>
            <w:r>
              <w:rPr>
                <w:rFonts w:eastAsia="方正黑体_GBK" w:cs="宋体"/>
                <w:bCs/>
                <w:noProof/>
                <w:kern w:val="44"/>
                <w:szCs w:val="32"/>
              </w:rPr>
            </w:r>
            <w:r>
              <w:rPr>
                <w:rFonts w:eastAsia="方正黑体_GBK" w:cs="宋体"/>
                <w:bCs/>
                <w:noProof/>
                <w:kern w:val="44"/>
                <w:szCs w:val="32"/>
              </w:rPr>
              <w:fldChar w:fldCharType="separate"/>
            </w:r>
            <w:r w:rsidR="00510A32">
              <w:rPr>
                <w:rFonts w:eastAsia="方正黑体_GBK" w:cs="宋体"/>
                <w:bCs/>
                <w:noProof/>
                <w:kern w:val="44"/>
                <w:szCs w:val="32"/>
              </w:rPr>
              <w:t>38</w:t>
            </w:r>
            <w:r>
              <w:rPr>
                <w:rFonts w:eastAsia="方正黑体_GBK" w:cs="宋体"/>
                <w:bCs/>
                <w:noProof/>
                <w:kern w:val="44"/>
                <w:szCs w:val="32"/>
              </w:rPr>
              <w:fldChar w:fldCharType="end"/>
            </w:r>
          </w:hyperlink>
        </w:p>
        <w:p w14:paraId="515D1254" w14:textId="77777777" w:rsidR="001F2B4F" w:rsidRDefault="00000000">
          <w:pPr>
            <w:overflowPunct w:val="0"/>
            <w:adjustRightInd w:val="0"/>
            <w:snapToGrid w:val="0"/>
            <w:spacing w:line="640" w:lineRule="exact"/>
            <w:ind w:firstLineChars="200" w:firstLine="712"/>
            <w:rPr>
              <w:sz w:val="36"/>
              <w:szCs w:val="36"/>
            </w:rPr>
          </w:pPr>
          <w:r>
            <w:rPr>
              <w:bCs/>
              <w:sz w:val="36"/>
              <w:szCs w:val="36"/>
              <w:lang w:val="zh-CN"/>
            </w:rPr>
            <w:fldChar w:fldCharType="end"/>
          </w:r>
        </w:p>
      </w:sdtContent>
    </w:sdt>
    <w:p w14:paraId="7A9504FE" w14:textId="77777777" w:rsidR="001F2B4F" w:rsidRDefault="001F2B4F">
      <w:pPr>
        <w:overflowPunct w:val="0"/>
        <w:rPr>
          <w:lang w:val="zh-CN"/>
        </w:rPr>
        <w:sectPr w:rsidR="001F2B4F">
          <w:headerReference w:type="default" r:id="rId7"/>
          <w:footerReference w:type="even" r:id="rId8"/>
          <w:footerReference w:type="default" r:id="rId9"/>
          <w:pgSz w:w="11907" w:h="16840"/>
          <w:pgMar w:top="2098" w:right="1474" w:bottom="1928" w:left="1588" w:header="851" w:footer="1418" w:gutter="0"/>
          <w:pgNumType w:start="1"/>
          <w:cols w:space="720"/>
          <w:docGrid w:type="linesAndChars" w:linePitch="582" w:charSpace="-842"/>
        </w:sectPr>
      </w:pPr>
    </w:p>
    <w:p w14:paraId="41ED745E" w14:textId="77777777" w:rsidR="001F2B4F" w:rsidRDefault="00000000">
      <w:pPr>
        <w:overflowPunct w:val="0"/>
        <w:autoSpaceDE w:val="0"/>
        <w:autoSpaceDN w:val="0"/>
        <w:adjustRightInd w:val="0"/>
        <w:snapToGrid w:val="0"/>
        <w:spacing w:line="640" w:lineRule="exact"/>
        <w:jc w:val="center"/>
        <w:outlineLvl w:val="0"/>
        <w:rPr>
          <w:rFonts w:ascii="方正小标宋_GBK" w:eastAsia="方正小标宋_GBK" w:hAnsi="方正小标宋_GBK" w:cs="方正黑体_GBK"/>
          <w:bCs/>
          <w:sz w:val="44"/>
          <w:szCs w:val="44"/>
        </w:rPr>
      </w:pPr>
      <w:bookmarkStart w:id="3" w:name="_Toc96622369"/>
      <w:bookmarkStart w:id="4" w:name="_Hlk96349414"/>
      <w:r>
        <w:rPr>
          <w:rFonts w:ascii="方正小标宋_GBK" w:eastAsia="方正小标宋_GBK" w:hAnsi="方正小标宋_GBK" w:cs="方正黑体_GBK" w:hint="eastAsia"/>
          <w:bCs/>
          <w:sz w:val="44"/>
          <w:szCs w:val="44"/>
        </w:rPr>
        <w:lastRenderedPageBreak/>
        <w:t>前  言</w:t>
      </w:r>
      <w:bookmarkEnd w:id="3"/>
    </w:p>
    <w:bookmarkEnd w:id="4"/>
    <w:p w14:paraId="4D9609CC" w14:textId="77777777" w:rsidR="001F2B4F" w:rsidRDefault="001F2B4F">
      <w:pPr>
        <w:overflowPunct w:val="0"/>
        <w:autoSpaceDE w:val="0"/>
        <w:autoSpaceDN w:val="0"/>
        <w:snapToGrid w:val="0"/>
        <w:spacing w:line="640" w:lineRule="exact"/>
        <w:ind w:firstLineChars="200" w:firstLine="632"/>
        <w:rPr>
          <w:rFonts w:cs="Times New Roman"/>
          <w:bCs/>
          <w:szCs w:val="32"/>
        </w:rPr>
      </w:pPr>
    </w:p>
    <w:p w14:paraId="1002B42C" w14:textId="77777777" w:rsidR="001F2B4F" w:rsidRDefault="00000000">
      <w:pPr>
        <w:pStyle w:val="a0"/>
        <w:overflowPunct w:val="0"/>
        <w:snapToGrid w:val="0"/>
        <w:spacing w:after="0" w:line="579" w:lineRule="exact"/>
        <w:ind w:firstLine="632"/>
      </w:pPr>
      <w:r>
        <w:rPr>
          <w:rFonts w:hint="eastAsia"/>
        </w:rPr>
        <w:t>“十四五”时期是开启全面建设社会主义现代化国家、向第二个百年奋斗目标进军的新征程阶段；是全省深入推进“一干多支、五区协同”“四向拓展、全域开放”战略部署，推动新时代治蜀兴</w:t>
      </w:r>
      <w:proofErr w:type="gramStart"/>
      <w:r>
        <w:rPr>
          <w:rFonts w:hint="eastAsia"/>
        </w:rPr>
        <w:t>川事业</w:t>
      </w:r>
      <w:proofErr w:type="gramEnd"/>
      <w:r>
        <w:rPr>
          <w:rFonts w:hint="eastAsia"/>
        </w:rPr>
        <w:t>迈上新台阶的重要节点；是成都服务和融入“一带一路”建设、长江经济带发展、成渝地区双城经济圈建设的战略机遇期，是全面建设</w:t>
      </w:r>
      <w:proofErr w:type="gramStart"/>
      <w:r>
        <w:rPr>
          <w:rFonts w:hint="eastAsia"/>
        </w:rPr>
        <w:t>践行</w:t>
      </w:r>
      <w:proofErr w:type="gramEnd"/>
      <w:r>
        <w:rPr>
          <w:rFonts w:hint="eastAsia"/>
        </w:rPr>
        <w:t>新发展理念的公园城市示范区的攻坚突破期，是厚植宜</w:t>
      </w:r>
      <w:proofErr w:type="gramStart"/>
      <w:r>
        <w:rPr>
          <w:rFonts w:hint="eastAsia"/>
        </w:rPr>
        <w:t>居宜业</w:t>
      </w:r>
      <w:proofErr w:type="gramEnd"/>
      <w:r>
        <w:rPr>
          <w:rFonts w:hint="eastAsia"/>
        </w:rPr>
        <w:t>优势的进位提升期。</w:t>
      </w:r>
      <w:r>
        <w:rPr>
          <w:rFonts w:eastAsia="方正仿宋_GBK" w:hint="eastAsia"/>
          <w:spacing w:val="-6"/>
        </w:rPr>
        <w:t>会展业作为现代服务业的重要组成部分，是连接生产与消费、供给与需求、国际与国内的重要桥梁，在城市经济发展中具有重要作用。</w:t>
      </w:r>
    </w:p>
    <w:p w14:paraId="52C6C663" w14:textId="77777777" w:rsidR="001F2B4F" w:rsidRDefault="00000000">
      <w:pPr>
        <w:overflowPunct w:val="0"/>
        <w:snapToGrid w:val="0"/>
        <w:spacing w:line="579" w:lineRule="exact"/>
        <w:ind w:firstLineChars="200" w:firstLine="632"/>
        <w:rPr>
          <w:rFonts w:cs="仿宋"/>
          <w:bCs/>
          <w:szCs w:val="32"/>
        </w:rPr>
      </w:pPr>
      <w:r>
        <w:rPr>
          <w:rFonts w:cs="仿宋" w:hint="eastAsia"/>
          <w:bCs/>
          <w:szCs w:val="32"/>
        </w:rPr>
        <w:t>本规划依据《中华人民共和国国民经济和社会发展第十四个五年规划和</w:t>
      </w:r>
      <w:r>
        <w:rPr>
          <w:rFonts w:cs="Times New Roman"/>
          <w:bCs/>
          <w:szCs w:val="32"/>
        </w:rPr>
        <w:t>2035</w:t>
      </w:r>
      <w:r>
        <w:rPr>
          <w:rFonts w:cs="仿宋" w:hint="eastAsia"/>
          <w:bCs/>
          <w:szCs w:val="32"/>
        </w:rPr>
        <w:t>年远景目标纲要》《成渝地区双城经济圈建设规划纲要》、商务部《“十四五”商务发展规划》</w:t>
      </w:r>
      <w:r>
        <w:rPr>
          <w:rFonts w:cs="楷体_GB2312" w:hint="eastAsia"/>
          <w:bCs/>
          <w:szCs w:val="32"/>
          <w:shd w:val="clear" w:color="auto" w:fill="FFFFFF"/>
        </w:rPr>
        <w:t>《四川省国民经济和社会发展第十四个五年规划和二〇三五年远景目标纲要》</w:t>
      </w:r>
      <w:r>
        <w:rPr>
          <w:rFonts w:cs="仿宋" w:hint="eastAsia"/>
          <w:bCs/>
          <w:szCs w:val="32"/>
        </w:rPr>
        <w:t>《四川省“十四五”服务业发展规划》《成都都市圈发展规划》《中共成都市委关于制定成都市国民经济和社会发展第十四个五年规划和二〇三五年远景目标的建议》《成都市国民经济和社会发展第十四个五年规划和二〇三五年远景目标纲要》</w:t>
      </w:r>
      <w:bookmarkStart w:id="5" w:name="_Hlk96368202"/>
      <w:r>
        <w:rPr>
          <w:rFonts w:cs="仿宋" w:hint="eastAsia"/>
          <w:bCs/>
          <w:szCs w:val="32"/>
        </w:rPr>
        <w:t>《成都市生产性服务业发展总体规划》</w:t>
      </w:r>
      <w:bookmarkEnd w:id="5"/>
      <w:r>
        <w:rPr>
          <w:rFonts w:cs="仿宋" w:hint="eastAsia"/>
          <w:bCs/>
          <w:szCs w:val="32"/>
        </w:rPr>
        <w:t>等进行编制，是指导“十四五”时期成都市会展业发展的纲领性文件，是制定相关会展规划和政策的重要依据。</w:t>
      </w:r>
      <w:bookmarkStart w:id="6" w:name="_Toc93092566"/>
      <w:bookmarkEnd w:id="2"/>
      <w:bookmarkEnd w:id="1"/>
      <w:bookmarkEnd w:id="0"/>
    </w:p>
    <w:p w14:paraId="2EB5ABF7" w14:textId="77777777" w:rsidR="001F2B4F" w:rsidRDefault="001F2B4F">
      <w:pPr>
        <w:pStyle w:val="a0"/>
        <w:overflowPunct w:val="0"/>
        <w:snapToGrid w:val="0"/>
        <w:spacing w:after="0" w:line="579" w:lineRule="exact"/>
        <w:ind w:firstLine="632"/>
      </w:pPr>
      <w:bookmarkStart w:id="7" w:name="_Toc96622370"/>
    </w:p>
    <w:p w14:paraId="0A930112" w14:textId="77777777" w:rsidR="001F2B4F" w:rsidRDefault="00000000">
      <w:pPr>
        <w:overflowPunct w:val="0"/>
        <w:autoSpaceDE w:val="0"/>
        <w:autoSpaceDN w:val="0"/>
        <w:adjustRightInd w:val="0"/>
        <w:snapToGrid w:val="0"/>
        <w:spacing w:line="579" w:lineRule="exact"/>
        <w:jc w:val="center"/>
        <w:outlineLvl w:val="0"/>
        <w:rPr>
          <w:rFonts w:ascii="方正小标宋_GBK" w:eastAsia="方正小标宋_GBK" w:hAnsi="方正小标宋_GBK" w:cs="方正黑体_GBK"/>
          <w:bCs/>
          <w:szCs w:val="32"/>
        </w:rPr>
      </w:pPr>
      <w:r>
        <w:rPr>
          <w:rFonts w:ascii="方正小标宋_GBK" w:eastAsia="方正小标宋_GBK" w:hAnsi="方正小标宋_GBK" w:cs="方正黑体_GBK"/>
          <w:bCs/>
          <w:szCs w:val="32"/>
        </w:rPr>
        <w:t>第</w:t>
      </w:r>
      <w:r>
        <w:rPr>
          <w:rFonts w:ascii="方正小标宋_GBK" w:eastAsia="方正小标宋_GBK" w:hAnsi="方正小标宋_GBK" w:cs="方正黑体_GBK" w:hint="eastAsia"/>
          <w:bCs/>
          <w:szCs w:val="32"/>
        </w:rPr>
        <w:t>一</w:t>
      </w:r>
      <w:r>
        <w:rPr>
          <w:rFonts w:ascii="方正小标宋_GBK" w:eastAsia="方正小标宋_GBK" w:hAnsi="方正小标宋_GBK" w:cs="方正黑体_GBK"/>
          <w:bCs/>
          <w:szCs w:val="32"/>
        </w:rPr>
        <w:t xml:space="preserve">章  </w:t>
      </w:r>
      <w:bookmarkEnd w:id="6"/>
      <w:r>
        <w:rPr>
          <w:rFonts w:ascii="方正小标宋_GBK" w:eastAsia="方正小标宋_GBK" w:hAnsi="方正小标宋_GBK" w:cs="方正黑体_GBK" w:hint="eastAsia"/>
          <w:bCs/>
          <w:szCs w:val="32"/>
        </w:rPr>
        <w:t>发展背景</w:t>
      </w:r>
      <w:bookmarkEnd w:id="7"/>
    </w:p>
    <w:p w14:paraId="449CB6F4" w14:textId="77777777" w:rsidR="001F2B4F" w:rsidRDefault="001F2B4F">
      <w:pPr>
        <w:pStyle w:val="a0"/>
        <w:overflowPunct w:val="0"/>
        <w:snapToGrid w:val="0"/>
        <w:spacing w:after="0" w:line="579" w:lineRule="exact"/>
        <w:ind w:firstLine="632"/>
      </w:pPr>
    </w:p>
    <w:p w14:paraId="4B2376F2" w14:textId="77777777" w:rsidR="001F2B4F" w:rsidRDefault="00000000">
      <w:pPr>
        <w:overflowPunct w:val="0"/>
        <w:snapToGrid w:val="0"/>
        <w:spacing w:line="579" w:lineRule="exact"/>
        <w:ind w:firstLineChars="200" w:firstLine="632"/>
        <w:rPr>
          <w:rFonts w:cs="Times New Roman"/>
          <w:bCs/>
          <w:szCs w:val="32"/>
        </w:rPr>
      </w:pPr>
      <w:r>
        <w:rPr>
          <w:rFonts w:cs="Times New Roman" w:hint="eastAsia"/>
          <w:bCs/>
          <w:szCs w:val="32"/>
        </w:rPr>
        <w:t>“十三五”期间，成都会展业坚持站位全局、服务大局，综合实力不断提升。“十四五”期间，国内外环境发生复杂变化，成都会展业既有新机遇又面临新挑战。</w:t>
      </w:r>
    </w:p>
    <w:p w14:paraId="2A97069F" w14:textId="77777777" w:rsidR="001F2B4F" w:rsidRDefault="00000000">
      <w:pPr>
        <w:overflowPunct w:val="0"/>
        <w:autoSpaceDE w:val="0"/>
        <w:autoSpaceDN w:val="0"/>
        <w:snapToGrid w:val="0"/>
        <w:spacing w:line="579" w:lineRule="exact"/>
        <w:jc w:val="center"/>
        <w:outlineLvl w:val="1"/>
        <w:rPr>
          <w:rFonts w:ascii="方正黑体_GBK" w:eastAsia="方正黑体_GBK" w:cs="宋体"/>
          <w:bCs/>
          <w:kern w:val="0"/>
          <w:szCs w:val="32"/>
          <w:lang w:val="zh-CN" w:bidi="zh-CN"/>
        </w:rPr>
      </w:pPr>
      <w:bookmarkStart w:id="8" w:name="_Toc78795955"/>
      <w:bookmarkStart w:id="9" w:name="_Toc65700494"/>
      <w:bookmarkStart w:id="10" w:name="_Toc78795983"/>
      <w:bookmarkStart w:id="11" w:name="_Toc96622371"/>
      <w:bookmarkStart w:id="12" w:name="_Toc93092567"/>
      <w:bookmarkStart w:id="13" w:name="_Toc78795984"/>
      <w:bookmarkStart w:id="14" w:name="_Toc78795956"/>
      <w:bookmarkStart w:id="15" w:name="_Toc65700505"/>
      <w:r>
        <w:rPr>
          <w:rFonts w:ascii="方正黑体_GBK" w:eastAsia="方正黑体_GBK" w:cs="宋体" w:hint="eastAsia"/>
          <w:bCs/>
          <w:kern w:val="0"/>
          <w:szCs w:val="32"/>
          <w:lang w:val="zh-CN" w:bidi="zh-CN"/>
        </w:rPr>
        <w:t>第一节  发展</w:t>
      </w:r>
      <w:bookmarkEnd w:id="8"/>
      <w:bookmarkEnd w:id="9"/>
      <w:bookmarkEnd w:id="10"/>
      <w:r>
        <w:rPr>
          <w:rFonts w:ascii="方正黑体_GBK" w:eastAsia="方正黑体_GBK" w:cs="宋体" w:hint="eastAsia"/>
          <w:bCs/>
          <w:kern w:val="0"/>
          <w:szCs w:val="32"/>
          <w:lang w:val="zh-CN" w:bidi="zh-CN"/>
        </w:rPr>
        <w:t>成效</w:t>
      </w:r>
      <w:bookmarkEnd w:id="11"/>
      <w:bookmarkEnd w:id="12"/>
    </w:p>
    <w:p w14:paraId="7EE5BA08" w14:textId="77777777" w:rsidR="001F2B4F" w:rsidRDefault="00000000">
      <w:pPr>
        <w:overflowPunct w:val="0"/>
        <w:snapToGrid w:val="0"/>
        <w:spacing w:line="579" w:lineRule="exact"/>
        <w:ind w:firstLineChars="200" w:firstLine="632"/>
        <w:rPr>
          <w:rFonts w:cs="楷体_GB2312"/>
          <w:bCs/>
          <w:szCs w:val="32"/>
        </w:rPr>
      </w:pPr>
      <w:bookmarkStart w:id="16" w:name="_Toc65700496"/>
      <w:bookmarkStart w:id="17" w:name="_Toc65700497"/>
      <w:bookmarkStart w:id="18" w:name="_Toc65700498"/>
      <w:r>
        <w:rPr>
          <w:rFonts w:ascii="方正楷体_GBK" w:eastAsia="方正楷体_GBK" w:hAnsi="方正楷体_GBK" w:cs="方正楷体_GBK" w:hint="eastAsia"/>
          <w:szCs w:val="32"/>
          <w:lang w:val="zh-TW"/>
        </w:rPr>
        <w:t>产业规模</w:t>
      </w:r>
      <w:bookmarkEnd w:id="16"/>
      <w:r>
        <w:rPr>
          <w:rFonts w:ascii="方正楷体_GBK" w:eastAsia="方正楷体_GBK" w:hAnsi="方正楷体_GBK" w:cs="方正楷体_GBK" w:hint="eastAsia"/>
          <w:szCs w:val="32"/>
          <w:lang w:val="zh-TW"/>
        </w:rPr>
        <w:t>快速扩大。</w:t>
      </w:r>
      <w:r>
        <w:rPr>
          <w:rFonts w:cs="楷体_GB2312" w:hint="eastAsia"/>
          <w:bCs/>
          <w:szCs w:val="32"/>
        </w:rPr>
        <w:t>“十三五”期间，成都会展业总收入</w:t>
      </w:r>
      <w:r>
        <w:rPr>
          <w:rFonts w:cs="楷体_GB2312" w:hint="eastAsia"/>
          <w:bCs/>
          <w:szCs w:val="32"/>
        </w:rPr>
        <w:t>5240.3</w:t>
      </w:r>
      <w:r>
        <w:rPr>
          <w:rFonts w:cs="楷体_GB2312" w:hint="eastAsia"/>
          <w:bCs/>
          <w:szCs w:val="32"/>
        </w:rPr>
        <w:t>亿元、直接收入</w:t>
      </w:r>
      <w:r>
        <w:rPr>
          <w:rFonts w:cs="楷体_GB2312" w:hint="eastAsia"/>
          <w:bCs/>
          <w:szCs w:val="32"/>
        </w:rPr>
        <w:t>533.3</w:t>
      </w:r>
      <w:r>
        <w:rPr>
          <w:rFonts w:cs="楷体_GB2312" w:hint="eastAsia"/>
          <w:bCs/>
          <w:szCs w:val="32"/>
        </w:rPr>
        <w:t>亿元、带动收入</w:t>
      </w:r>
      <w:r>
        <w:rPr>
          <w:rFonts w:cs="楷体_GB2312" w:hint="eastAsia"/>
          <w:bCs/>
          <w:szCs w:val="32"/>
        </w:rPr>
        <w:t>4707</w:t>
      </w:r>
      <w:r>
        <w:rPr>
          <w:rFonts w:cs="楷体_GB2312" w:hint="eastAsia"/>
          <w:bCs/>
          <w:szCs w:val="32"/>
        </w:rPr>
        <w:t>亿元，其中直接收入同比增长</w:t>
      </w:r>
      <w:r>
        <w:rPr>
          <w:rFonts w:cs="楷体_GB2312" w:hint="eastAsia"/>
          <w:bCs/>
          <w:szCs w:val="32"/>
        </w:rPr>
        <w:t>81.1%</w:t>
      </w:r>
      <w:r>
        <w:rPr>
          <w:rFonts w:cs="楷体_GB2312" w:hint="eastAsia"/>
          <w:bCs/>
          <w:szCs w:val="32"/>
        </w:rPr>
        <w:t>。累计举办重大会展活动</w:t>
      </w:r>
      <w:r>
        <w:rPr>
          <w:rFonts w:cs="楷体_GB2312" w:hint="eastAsia"/>
          <w:bCs/>
          <w:szCs w:val="32"/>
        </w:rPr>
        <w:t>3572</w:t>
      </w:r>
      <w:r>
        <w:rPr>
          <w:rFonts w:cs="楷体_GB2312" w:hint="eastAsia"/>
          <w:bCs/>
          <w:szCs w:val="32"/>
        </w:rPr>
        <w:t>个、展览和会议总面积</w:t>
      </w:r>
      <w:r>
        <w:rPr>
          <w:rFonts w:cs="楷体_GB2312" w:hint="eastAsia"/>
          <w:bCs/>
          <w:szCs w:val="32"/>
        </w:rPr>
        <w:t>4943.7</w:t>
      </w:r>
      <w:r>
        <w:rPr>
          <w:rFonts w:cs="楷体_GB2312" w:hint="eastAsia"/>
          <w:bCs/>
          <w:szCs w:val="32"/>
        </w:rPr>
        <w:t>万平方米，分别同比增长</w:t>
      </w:r>
      <w:r>
        <w:rPr>
          <w:rFonts w:cs="楷体_GB2312" w:hint="eastAsia"/>
          <w:bCs/>
          <w:szCs w:val="32"/>
        </w:rPr>
        <w:t>52.8%</w:t>
      </w:r>
      <w:r>
        <w:rPr>
          <w:rFonts w:cs="楷体_GB2312" w:hint="eastAsia"/>
          <w:bCs/>
          <w:szCs w:val="32"/>
        </w:rPr>
        <w:t>、</w:t>
      </w:r>
      <w:r>
        <w:rPr>
          <w:rFonts w:cs="楷体_GB2312" w:hint="eastAsia"/>
          <w:bCs/>
          <w:szCs w:val="32"/>
        </w:rPr>
        <w:t>35.4%</w:t>
      </w:r>
      <w:r>
        <w:rPr>
          <w:rFonts w:cs="楷体_GB2312" w:hint="eastAsia"/>
          <w:bCs/>
          <w:szCs w:val="32"/>
        </w:rPr>
        <w:t>。其中，举办重大展览</w:t>
      </w:r>
      <w:r>
        <w:rPr>
          <w:rFonts w:cs="楷体_GB2312" w:hint="eastAsia"/>
          <w:bCs/>
          <w:szCs w:val="32"/>
        </w:rPr>
        <w:t>1177</w:t>
      </w:r>
      <w:r>
        <w:rPr>
          <w:rFonts w:cs="楷体_GB2312" w:hint="eastAsia"/>
          <w:bCs/>
          <w:szCs w:val="32"/>
        </w:rPr>
        <w:t>个、展出总面积</w:t>
      </w:r>
      <w:r>
        <w:rPr>
          <w:rFonts w:cs="楷体_GB2312" w:hint="eastAsia"/>
          <w:bCs/>
          <w:szCs w:val="32"/>
        </w:rPr>
        <w:t>2119.7</w:t>
      </w:r>
      <w:r>
        <w:rPr>
          <w:rFonts w:cs="楷体_GB2312" w:hint="eastAsia"/>
          <w:bCs/>
          <w:szCs w:val="32"/>
        </w:rPr>
        <w:t>万平方米，分别同比增长</w:t>
      </w:r>
      <w:r>
        <w:rPr>
          <w:rFonts w:cs="楷体_GB2312" w:hint="eastAsia"/>
          <w:bCs/>
          <w:szCs w:val="32"/>
        </w:rPr>
        <w:t>40.1%</w:t>
      </w:r>
      <w:r>
        <w:rPr>
          <w:rFonts w:cs="楷体_GB2312" w:hint="eastAsia"/>
          <w:bCs/>
          <w:szCs w:val="32"/>
        </w:rPr>
        <w:t>、</w:t>
      </w:r>
      <w:r>
        <w:rPr>
          <w:rFonts w:cs="楷体_GB2312" w:hint="eastAsia"/>
          <w:bCs/>
          <w:szCs w:val="32"/>
        </w:rPr>
        <w:t>47.2%</w:t>
      </w:r>
      <w:r>
        <w:rPr>
          <w:rFonts w:cs="楷体_GB2312" w:hint="eastAsia"/>
          <w:bCs/>
          <w:szCs w:val="32"/>
        </w:rPr>
        <w:t>；举办重大会议</w:t>
      </w:r>
      <w:r>
        <w:rPr>
          <w:rFonts w:cs="楷体_GB2312" w:hint="eastAsia"/>
          <w:bCs/>
          <w:szCs w:val="32"/>
        </w:rPr>
        <w:t>1169</w:t>
      </w:r>
      <w:r>
        <w:rPr>
          <w:rFonts w:cs="楷体_GB2312" w:hint="eastAsia"/>
          <w:bCs/>
          <w:szCs w:val="32"/>
        </w:rPr>
        <w:t>个、会议面积</w:t>
      </w:r>
      <w:r>
        <w:rPr>
          <w:rFonts w:cs="楷体_GB2312" w:hint="eastAsia"/>
          <w:bCs/>
          <w:szCs w:val="32"/>
        </w:rPr>
        <w:t>2824</w:t>
      </w:r>
      <w:r>
        <w:rPr>
          <w:rFonts w:cs="楷体_GB2312" w:hint="eastAsia"/>
          <w:bCs/>
          <w:szCs w:val="32"/>
        </w:rPr>
        <w:t>万平方米，分别同比增长</w:t>
      </w:r>
      <w:r>
        <w:rPr>
          <w:rFonts w:cs="楷体_GB2312" w:hint="eastAsia"/>
          <w:bCs/>
          <w:szCs w:val="32"/>
        </w:rPr>
        <w:t>158.6%</w:t>
      </w:r>
      <w:r>
        <w:rPr>
          <w:rFonts w:cs="楷体_GB2312" w:hint="eastAsia"/>
          <w:bCs/>
          <w:szCs w:val="32"/>
        </w:rPr>
        <w:t>、</w:t>
      </w:r>
      <w:r>
        <w:rPr>
          <w:rFonts w:cs="楷体_GB2312" w:hint="eastAsia"/>
          <w:bCs/>
          <w:szCs w:val="32"/>
        </w:rPr>
        <w:t>27.7%</w:t>
      </w:r>
      <w:r>
        <w:rPr>
          <w:rFonts w:cs="楷体_GB2312" w:hint="eastAsia"/>
          <w:bCs/>
          <w:szCs w:val="32"/>
        </w:rPr>
        <w:t>；举办重大节庆活动</w:t>
      </w:r>
      <w:r>
        <w:rPr>
          <w:rFonts w:cs="楷体_GB2312" w:hint="eastAsia"/>
          <w:bCs/>
          <w:szCs w:val="32"/>
        </w:rPr>
        <w:t>1226</w:t>
      </w:r>
      <w:r>
        <w:rPr>
          <w:rFonts w:cs="楷体_GB2312" w:hint="eastAsia"/>
          <w:bCs/>
          <w:szCs w:val="32"/>
        </w:rPr>
        <w:t>个，同比增长</w:t>
      </w:r>
      <w:r>
        <w:rPr>
          <w:rFonts w:cs="楷体_GB2312" w:hint="eastAsia"/>
          <w:bCs/>
          <w:szCs w:val="32"/>
        </w:rPr>
        <w:t>17.2%</w:t>
      </w:r>
      <w:r>
        <w:rPr>
          <w:rFonts w:cs="楷体_GB2312" w:hint="eastAsia"/>
          <w:bCs/>
          <w:szCs w:val="32"/>
        </w:rPr>
        <w:t>。</w:t>
      </w:r>
    </w:p>
    <w:p w14:paraId="4E1EAE8E" w14:textId="77777777" w:rsidR="001F2B4F" w:rsidRDefault="00000000">
      <w:pPr>
        <w:pStyle w:val="a0"/>
        <w:overflowPunct w:val="0"/>
        <w:spacing w:line="579" w:lineRule="exact"/>
        <w:ind w:firstLine="632"/>
      </w:pPr>
      <w:r>
        <w:br w:type="page"/>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1F2B4F" w14:paraId="56A23A82" w14:textId="77777777">
        <w:trPr>
          <w:trHeight w:val="624"/>
          <w:jc w:val="center"/>
        </w:trPr>
        <w:tc>
          <w:tcPr>
            <w:tcW w:w="8834" w:type="dxa"/>
            <w:tcBorders>
              <w:top w:val="single" w:sz="4" w:space="0" w:color="auto"/>
              <w:left w:val="single" w:sz="4" w:space="0" w:color="auto"/>
              <w:bottom w:val="single" w:sz="4" w:space="0" w:color="auto"/>
              <w:right w:val="single" w:sz="4" w:space="0" w:color="auto"/>
            </w:tcBorders>
            <w:vAlign w:val="center"/>
          </w:tcPr>
          <w:p w14:paraId="0A1B5BED" w14:textId="77777777" w:rsidR="001F2B4F" w:rsidRDefault="00000000">
            <w:pPr>
              <w:overflowPunct w:val="0"/>
              <w:rPr>
                <w:rFonts w:eastAsia="方正黑体_GBK" w:cs="Times New Roman"/>
                <w:sz w:val="28"/>
                <w:szCs w:val="30"/>
              </w:rPr>
            </w:pPr>
            <w:r>
              <w:rPr>
                <w:rFonts w:eastAsia="方正黑体_GBK" w:cs="Times New Roman" w:hint="eastAsia"/>
                <w:sz w:val="28"/>
                <w:szCs w:val="30"/>
              </w:rPr>
              <w:lastRenderedPageBreak/>
              <w:t>专栏</w:t>
            </w:r>
            <w:r>
              <w:rPr>
                <w:rFonts w:eastAsia="方正黑体_GBK" w:cs="Times New Roman" w:hint="eastAsia"/>
                <w:sz w:val="28"/>
                <w:szCs w:val="30"/>
              </w:rPr>
              <w:t xml:space="preserve">1  </w:t>
            </w:r>
            <w:r>
              <w:rPr>
                <w:rFonts w:eastAsia="方正黑体_GBK" w:cs="Times New Roman" w:hint="eastAsia"/>
                <w:sz w:val="28"/>
                <w:szCs w:val="30"/>
              </w:rPr>
              <w:t>“十三五”期间成都会展业收入</w:t>
            </w:r>
          </w:p>
        </w:tc>
      </w:tr>
      <w:tr w:rsidR="001F2B4F" w14:paraId="55BCE4E5" w14:textId="77777777">
        <w:trPr>
          <w:trHeight w:val="3685"/>
          <w:jc w:val="center"/>
        </w:trPr>
        <w:tc>
          <w:tcPr>
            <w:tcW w:w="8834" w:type="dxa"/>
            <w:tcBorders>
              <w:top w:val="single" w:sz="4" w:space="0" w:color="auto"/>
              <w:left w:val="single" w:sz="4" w:space="0" w:color="auto"/>
              <w:bottom w:val="single" w:sz="4" w:space="0" w:color="auto"/>
              <w:right w:val="single" w:sz="4" w:space="0" w:color="auto"/>
            </w:tcBorders>
            <w:vAlign w:val="center"/>
          </w:tcPr>
          <w:p w14:paraId="28AB7BE6" w14:textId="77777777" w:rsidR="001F2B4F" w:rsidRDefault="00000000">
            <w:pPr>
              <w:overflowPunct w:val="0"/>
              <w:spacing w:beforeLines="50" w:before="291"/>
              <w:jc w:val="left"/>
              <w:rPr>
                <w:rFonts w:eastAsia="微软雅黑" w:cs="Times New Roman"/>
                <w:bCs/>
                <w:sz w:val="15"/>
                <w:szCs w:val="32"/>
              </w:rPr>
            </w:pPr>
            <w:r>
              <w:rPr>
                <w:rFonts w:cs="楷体_GB2312"/>
                <w:bCs/>
                <w:noProof/>
                <w:szCs w:val="32"/>
              </w:rPr>
              <w:drawing>
                <wp:inline distT="0" distB="0" distL="0" distR="0" wp14:anchorId="7909ECF8" wp14:editId="0CD4D1C5">
                  <wp:extent cx="5445760" cy="3212465"/>
                  <wp:effectExtent l="0" t="0" r="2540" b="698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F2B4F" w14:paraId="5DED9F4D" w14:textId="77777777">
        <w:trPr>
          <w:trHeight w:val="575"/>
          <w:jc w:val="center"/>
        </w:trPr>
        <w:tc>
          <w:tcPr>
            <w:tcW w:w="8834" w:type="dxa"/>
            <w:tcBorders>
              <w:top w:val="single" w:sz="4" w:space="0" w:color="auto"/>
              <w:left w:val="single" w:sz="4" w:space="0" w:color="auto"/>
              <w:bottom w:val="single" w:sz="4" w:space="0" w:color="auto"/>
              <w:right w:val="single" w:sz="4" w:space="0" w:color="auto"/>
            </w:tcBorders>
            <w:vAlign w:val="center"/>
          </w:tcPr>
          <w:p w14:paraId="4AA603D3" w14:textId="77777777" w:rsidR="001F2B4F" w:rsidRDefault="00000000">
            <w:pPr>
              <w:overflowPunct w:val="0"/>
              <w:rPr>
                <w:rFonts w:cs="Times New Roman"/>
                <w:sz w:val="28"/>
                <w:szCs w:val="30"/>
              </w:rPr>
            </w:pPr>
            <w:r>
              <w:rPr>
                <w:rFonts w:eastAsia="方正黑体_GBK" w:cs="Times New Roman" w:hint="eastAsia"/>
                <w:sz w:val="28"/>
                <w:szCs w:val="30"/>
              </w:rPr>
              <w:t>专栏</w:t>
            </w:r>
            <w:r>
              <w:rPr>
                <w:rFonts w:eastAsia="方正黑体_GBK" w:cs="Times New Roman"/>
                <w:sz w:val="28"/>
                <w:szCs w:val="30"/>
              </w:rPr>
              <w:t xml:space="preserve">2  </w:t>
            </w:r>
            <w:r>
              <w:rPr>
                <w:rFonts w:eastAsia="方正黑体_GBK" w:cs="Times New Roman" w:hint="eastAsia"/>
                <w:sz w:val="28"/>
                <w:szCs w:val="30"/>
              </w:rPr>
              <w:t>“十三五”期间成都重大会展活动数量</w:t>
            </w:r>
          </w:p>
        </w:tc>
      </w:tr>
      <w:tr w:rsidR="001F2B4F" w14:paraId="615583BB" w14:textId="77777777">
        <w:trPr>
          <w:trHeight w:val="5032"/>
          <w:jc w:val="center"/>
        </w:trPr>
        <w:tc>
          <w:tcPr>
            <w:tcW w:w="8834" w:type="dxa"/>
            <w:tcBorders>
              <w:top w:val="single" w:sz="4" w:space="0" w:color="auto"/>
              <w:left w:val="single" w:sz="4" w:space="0" w:color="auto"/>
              <w:bottom w:val="single" w:sz="4" w:space="0" w:color="auto"/>
              <w:right w:val="single" w:sz="4" w:space="0" w:color="auto"/>
            </w:tcBorders>
            <w:vAlign w:val="center"/>
          </w:tcPr>
          <w:p w14:paraId="00052B29" w14:textId="77777777" w:rsidR="001F2B4F" w:rsidRDefault="00000000">
            <w:pPr>
              <w:overflowPunct w:val="0"/>
              <w:snapToGrid w:val="0"/>
              <w:spacing w:beforeLines="20" w:before="116" w:afterLines="20" w:after="116"/>
              <w:rPr>
                <w:rFonts w:eastAsia="微软雅黑" w:cs="Times New Roman"/>
                <w:bCs/>
                <w:sz w:val="15"/>
                <w:szCs w:val="32"/>
              </w:rPr>
            </w:pPr>
            <w:r>
              <w:rPr>
                <w:rFonts w:cs="楷体_GB2312"/>
                <w:bCs/>
                <w:noProof/>
                <w:szCs w:val="32"/>
              </w:rPr>
              <w:drawing>
                <wp:inline distT="0" distB="0" distL="0" distR="0" wp14:anchorId="5B8026CA" wp14:editId="5E5D0460">
                  <wp:extent cx="5454650" cy="3665220"/>
                  <wp:effectExtent l="0" t="0" r="12700" b="11430"/>
                  <wp:docPr id="1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F2B4F" w14:paraId="5953B749" w14:textId="77777777">
        <w:trPr>
          <w:trHeight w:val="567"/>
          <w:jc w:val="center"/>
        </w:trPr>
        <w:tc>
          <w:tcPr>
            <w:tcW w:w="8834" w:type="dxa"/>
            <w:tcBorders>
              <w:top w:val="single" w:sz="4" w:space="0" w:color="auto"/>
              <w:left w:val="single" w:sz="4" w:space="0" w:color="auto"/>
              <w:bottom w:val="single" w:sz="4" w:space="0" w:color="auto"/>
              <w:right w:val="single" w:sz="4" w:space="0" w:color="auto"/>
            </w:tcBorders>
            <w:vAlign w:val="center"/>
          </w:tcPr>
          <w:p w14:paraId="28AB93D9" w14:textId="77777777" w:rsidR="001F2B4F" w:rsidRDefault="00000000">
            <w:pPr>
              <w:overflowPunct w:val="0"/>
              <w:rPr>
                <w:rFonts w:cs="Times New Roman"/>
                <w:sz w:val="28"/>
                <w:szCs w:val="30"/>
              </w:rPr>
            </w:pPr>
            <w:r>
              <w:rPr>
                <w:rFonts w:eastAsia="方正黑体_GBK" w:cs="Times New Roman" w:hint="eastAsia"/>
                <w:sz w:val="28"/>
                <w:szCs w:val="30"/>
              </w:rPr>
              <w:lastRenderedPageBreak/>
              <w:t>专栏</w:t>
            </w:r>
            <w:r>
              <w:rPr>
                <w:rFonts w:eastAsia="方正黑体_GBK" w:cs="Times New Roman"/>
                <w:sz w:val="28"/>
                <w:szCs w:val="30"/>
              </w:rPr>
              <w:t xml:space="preserve">3  </w:t>
            </w:r>
            <w:r>
              <w:rPr>
                <w:rFonts w:eastAsia="方正黑体_GBK" w:cs="Times New Roman" w:hint="eastAsia"/>
                <w:sz w:val="28"/>
                <w:szCs w:val="30"/>
              </w:rPr>
              <w:t>“十三五”期间成都会展展出总面积</w:t>
            </w:r>
          </w:p>
        </w:tc>
      </w:tr>
      <w:tr w:rsidR="001F2B4F" w14:paraId="740F51E9" w14:textId="77777777">
        <w:trPr>
          <w:trHeight w:val="132"/>
          <w:jc w:val="center"/>
        </w:trPr>
        <w:tc>
          <w:tcPr>
            <w:tcW w:w="8834" w:type="dxa"/>
            <w:tcBorders>
              <w:top w:val="single" w:sz="4" w:space="0" w:color="auto"/>
              <w:left w:val="single" w:sz="4" w:space="0" w:color="auto"/>
              <w:bottom w:val="single" w:sz="4" w:space="0" w:color="auto"/>
              <w:right w:val="single" w:sz="4" w:space="0" w:color="auto"/>
            </w:tcBorders>
          </w:tcPr>
          <w:p w14:paraId="7BAB41FC" w14:textId="77777777" w:rsidR="001F2B4F" w:rsidRDefault="00000000">
            <w:pPr>
              <w:overflowPunct w:val="0"/>
              <w:snapToGrid w:val="0"/>
              <w:spacing w:beforeLines="20" w:before="116" w:afterLines="20" w:after="116"/>
              <w:rPr>
                <w:rFonts w:eastAsia="微软雅黑" w:cs="Times New Roman"/>
                <w:bCs/>
                <w:sz w:val="15"/>
                <w:szCs w:val="32"/>
              </w:rPr>
            </w:pPr>
            <w:r>
              <w:rPr>
                <w:rFonts w:cs="楷体_GB2312"/>
                <w:bCs/>
                <w:noProof/>
                <w:szCs w:val="32"/>
              </w:rPr>
              <w:drawing>
                <wp:inline distT="0" distB="0" distL="0" distR="0" wp14:anchorId="317DAD6B" wp14:editId="3D72B3D8">
                  <wp:extent cx="5450205" cy="3220085"/>
                  <wp:effectExtent l="0" t="0" r="17145" b="18415"/>
                  <wp:docPr id="3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bookmarkEnd w:id="17"/>
    <w:p w14:paraId="0AC6511B" w14:textId="77777777" w:rsidR="001F2B4F" w:rsidRDefault="00000000">
      <w:pPr>
        <w:overflowPunct w:val="0"/>
        <w:adjustRightInd w:val="0"/>
        <w:snapToGrid w:val="0"/>
        <w:spacing w:line="579" w:lineRule="exact"/>
        <w:ind w:firstLineChars="200" w:firstLine="632"/>
        <w:rPr>
          <w:rFonts w:cs="楷体_GB2312"/>
          <w:bCs/>
          <w:szCs w:val="32"/>
        </w:rPr>
      </w:pPr>
      <w:r>
        <w:rPr>
          <w:rFonts w:ascii="方正楷体_GBK" w:eastAsia="方正楷体_GBK" w:hAnsi="方正楷体_GBK" w:cs="方正楷体_GBK" w:hint="eastAsia"/>
          <w:szCs w:val="32"/>
          <w:lang w:val="zh-TW"/>
        </w:rPr>
        <w:t>品牌建设富有成效。</w:t>
      </w:r>
      <w:r>
        <w:rPr>
          <w:rFonts w:cs="楷体_GB2312" w:hint="eastAsia"/>
          <w:bCs/>
          <w:szCs w:val="32"/>
        </w:rPr>
        <w:t>成功落地国际</w:t>
      </w:r>
      <w:proofErr w:type="gramStart"/>
      <w:r>
        <w:rPr>
          <w:rFonts w:cs="楷体_GB2312" w:hint="eastAsia"/>
          <w:bCs/>
          <w:szCs w:val="32"/>
        </w:rPr>
        <w:t>合作驻馆项目</w:t>
      </w:r>
      <w:proofErr w:type="gramEnd"/>
      <w:r>
        <w:rPr>
          <w:rFonts w:cs="楷体_GB2312"/>
          <w:bCs/>
          <w:szCs w:val="32"/>
        </w:rPr>
        <w:t>21</w:t>
      </w:r>
      <w:r>
        <w:rPr>
          <w:rFonts w:cs="楷体_GB2312" w:hint="eastAsia"/>
          <w:bCs/>
          <w:szCs w:val="32"/>
        </w:rPr>
        <w:t>个，获得</w:t>
      </w:r>
      <w:r>
        <w:rPr>
          <w:rFonts w:cs="楷体_GB2312"/>
          <w:bCs/>
          <w:szCs w:val="32"/>
        </w:rPr>
        <w:t>UFI</w:t>
      </w:r>
      <w:r>
        <w:rPr>
          <w:rFonts w:cs="楷体_GB2312" w:hint="eastAsia"/>
          <w:bCs/>
          <w:szCs w:val="32"/>
        </w:rPr>
        <w:t>（</w:t>
      </w:r>
      <w:r>
        <w:rPr>
          <w:rFonts w:cs="楷体_GB2312"/>
          <w:bCs/>
          <w:szCs w:val="32"/>
        </w:rPr>
        <w:t>国际展览业协会</w:t>
      </w:r>
      <w:r>
        <w:rPr>
          <w:rFonts w:cs="楷体_GB2312" w:hint="eastAsia"/>
          <w:bCs/>
          <w:szCs w:val="32"/>
        </w:rPr>
        <w:t>）认证展览项目</w:t>
      </w:r>
      <w:r>
        <w:rPr>
          <w:rFonts w:cs="楷体_GB2312"/>
          <w:bCs/>
          <w:szCs w:val="32"/>
        </w:rPr>
        <w:t>12</w:t>
      </w:r>
      <w:r>
        <w:rPr>
          <w:rFonts w:cs="楷体_GB2312" w:hint="eastAsia"/>
          <w:bCs/>
          <w:szCs w:val="32"/>
        </w:rPr>
        <w:t>个，符合</w:t>
      </w:r>
      <w:r>
        <w:rPr>
          <w:rFonts w:cs="楷体_GB2312"/>
          <w:bCs/>
          <w:szCs w:val="32"/>
        </w:rPr>
        <w:t>ICCA</w:t>
      </w:r>
      <w:r>
        <w:rPr>
          <w:rFonts w:cs="楷体_GB2312" w:hint="eastAsia"/>
          <w:bCs/>
          <w:szCs w:val="32"/>
        </w:rPr>
        <w:t>（国际大会及会议协会）标准的会议项目</w:t>
      </w:r>
      <w:r>
        <w:rPr>
          <w:rFonts w:cs="楷体_GB2312"/>
          <w:bCs/>
          <w:szCs w:val="32"/>
        </w:rPr>
        <w:t>33</w:t>
      </w:r>
      <w:r>
        <w:rPr>
          <w:rFonts w:cs="楷体_GB2312" w:hint="eastAsia"/>
          <w:bCs/>
          <w:szCs w:val="32"/>
        </w:rPr>
        <w:t>个，会展国际品牌持续增加。成功举办全国糖酒商品交易会、中国西部国际博览会、成都国际汽车展览会等重大展览，第八次中日韩领导人会议、联合国世界旅游组织第</w:t>
      </w:r>
      <w:r>
        <w:rPr>
          <w:rFonts w:cs="楷体_GB2312"/>
          <w:bCs/>
          <w:szCs w:val="32"/>
        </w:rPr>
        <w:t>22</w:t>
      </w:r>
      <w:r>
        <w:rPr>
          <w:rFonts w:cs="楷体_GB2312" w:hint="eastAsia"/>
          <w:bCs/>
          <w:szCs w:val="32"/>
        </w:rPr>
        <w:t>届全体大会等具有重要影响力的会议活动。成都会展业竞争力连续</w:t>
      </w:r>
      <w:r>
        <w:rPr>
          <w:rFonts w:cs="楷体_GB2312" w:hint="eastAsia"/>
          <w:bCs/>
          <w:szCs w:val="32"/>
        </w:rPr>
        <w:t>4</w:t>
      </w:r>
      <w:r>
        <w:rPr>
          <w:rFonts w:cs="楷体_GB2312" w:hint="eastAsia"/>
          <w:bCs/>
          <w:szCs w:val="32"/>
        </w:rPr>
        <w:t>年稳居全国第</w:t>
      </w:r>
      <w:r>
        <w:rPr>
          <w:rFonts w:cs="楷体_GB2312" w:hint="eastAsia"/>
          <w:bCs/>
          <w:szCs w:val="32"/>
        </w:rPr>
        <w:t>4</w:t>
      </w:r>
      <w:r>
        <w:rPr>
          <w:rFonts w:cs="楷体_GB2312" w:hint="eastAsia"/>
          <w:bCs/>
          <w:szCs w:val="32"/>
        </w:rPr>
        <w:t>位，国际会议目的地竞争力位列全球第</w:t>
      </w:r>
      <w:r>
        <w:rPr>
          <w:rFonts w:cs="楷体_GB2312" w:hint="eastAsia"/>
          <w:bCs/>
          <w:szCs w:val="32"/>
        </w:rPr>
        <w:t>38</w:t>
      </w:r>
      <w:r>
        <w:rPr>
          <w:rFonts w:cs="楷体_GB2312" w:hint="eastAsia"/>
          <w:bCs/>
          <w:szCs w:val="32"/>
        </w:rPr>
        <w:t>位，连续两年跻身亚太十大会展城市。</w:t>
      </w:r>
    </w:p>
    <w:p w14:paraId="75223D37" w14:textId="77777777" w:rsidR="001F2B4F" w:rsidRDefault="00000000">
      <w:pPr>
        <w:overflowPunct w:val="0"/>
        <w:adjustRightInd w:val="0"/>
        <w:snapToGrid w:val="0"/>
        <w:spacing w:line="579" w:lineRule="exact"/>
        <w:ind w:firstLineChars="200" w:firstLine="632"/>
        <w:rPr>
          <w:rFonts w:cs="楷体_GB2312"/>
          <w:bCs/>
          <w:szCs w:val="32"/>
        </w:rPr>
      </w:pPr>
      <w:r>
        <w:rPr>
          <w:rFonts w:ascii="方正楷体_GBK" w:eastAsia="方正楷体_GBK" w:hAnsi="方正楷体_GBK" w:cs="方正楷体_GBK" w:hint="eastAsia"/>
          <w:szCs w:val="32"/>
          <w:lang w:val="zh-TW"/>
        </w:rPr>
        <w:t>载体建设实现突破。</w:t>
      </w:r>
      <w:r>
        <w:rPr>
          <w:rFonts w:cs="楷体_GB2312" w:hint="eastAsia"/>
          <w:bCs/>
          <w:szCs w:val="32"/>
        </w:rPr>
        <w:t>省市两级合力推动建成中国西部国际博览城，打造中西部规模最大、功能最全的“展会一体”综合体，有效解决了成都大型展览和会议场馆不足的瓶颈。中国天府农业</w:t>
      </w:r>
      <w:r>
        <w:rPr>
          <w:rFonts w:cs="楷体_GB2312" w:hint="eastAsia"/>
          <w:bCs/>
          <w:szCs w:val="32"/>
        </w:rPr>
        <w:lastRenderedPageBreak/>
        <w:t>博览园、淮州新城国际会展中心、空港商务展示展销综合体建设稳步推进，扩大专业展览新空间。成都世纪城新国际会展中心、</w:t>
      </w:r>
      <w:proofErr w:type="gramStart"/>
      <w:r>
        <w:rPr>
          <w:rFonts w:cs="楷体_GB2312" w:hint="eastAsia"/>
          <w:bCs/>
          <w:szCs w:val="32"/>
        </w:rPr>
        <w:t>成都融创国际</w:t>
      </w:r>
      <w:proofErr w:type="gramEnd"/>
      <w:r>
        <w:rPr>
          <w:rFonts w:cs="楷体_GB2312" w:hint="eastAsia"/>
          <w:bCs/>
          <w:szCs w:val="32"/>
        </w:rPr>
        <w:t>会议中心等会展载体设施得到更新和提升，增强会展业综合承载力。</w:t>
      </w:r>
    </w:p>
    <w:p w14:paraId="3D9360F7" w14:textId="77777777" w:rsidR="001F2B4F" w:rsidRDefault="00000000">
      <w:pPr>
        <w:overflowPunct w:val="0"/>
        <w:adjustRightInd w:val="0"/>
        <w:snapToGrid w:val="0"/>
        <w:spacing w:line="579" w:lineRule="exact"/>
        <w:ind w:firstLineChars="200" w:firstLine="632"/>
        <w:rPr>
          <w:rFonts w:cs="Times New Roman"/>
          <w:bCs/>
          <w:szCs w:val="32"/>
        </w:rPr>
      </w:pPr>
      <w:r>
        <w:rPr>
          <w:rFonts w:ascii="方正楷体_GBK" w:eastAsia="方正楷体_GBK" w:hAnsi="方正楷体_GBK" w:cs="方正楷体_GBK" w:hint="eastAsia"/>
          <w:szCs w:val="32"/>
          <w:lang w:val="zh-TW"/>
        </w:rPr>
        <w:t>市场主体不断壮大。</w:t>
      </w:r>
      <w:r>
        <w:rPr>
          <w:rFonts w:cs="楷体_GB2312" w:hint="eastAsia"/>
          <w:bCs/>
          <w:szCs w:val="32"/>
        </w:rPr>
        <w:t>全市本土重点会展企业</w:t>
      </w:r>
      <w:r>
        <w:rPr>
          <w:rFonts w:cs="Times New Roman"/>
          <w:bCs/>
          <w:szCs w:val="32"/>
        </w:rPr>
        <w:t>568</w:t>
      </w:r>
      <w:r>
        <w:rPr>
          <w:rFonts w:cs="楷体_GB2312" w:hint="eastAsia"/>
          <w:bCs/>
          <w:szCs w:val="32"/>
        </w:rPr>
        <w:t>家，年营业收入过亿元的本土会展企业</w:t>
      </w:r>
      <w:r>
        <w:rPr>
          <w:rFonts w:cs="Times New Roman" w:hint="eastAsia"/>
          <w:bCs/>
          <w:szCs w:val="32"/>
        </w:rPr>
        <w:t>5</w:t>
      </w:r>
      <w:r>
        <w:rPr>
          <w:rFonts w:cs="楷体_GB2312" w:hint="eastAsia"/>
          <w:bCs/>
          <w:szCs w:val="32"/>
        </w:rPr>
        <w:t>家，本土上市会展企业</w:t>
      </w:r>
      <w:r>
        <w:rPr>
          <w:rFonts w:cs="Times New Roman" w:hint="eastAsia"/>
          <w:bCs/>
          <w:szCs w:val="32"/>
        </w:rPr>
        <w:t>1</w:t>
      </w:r>
      <w:r>
        <w:rPr>
          <w:rFonts w:cs="楷体_GB2312" w:hint="eastAsia"/>
          <w:bCs/>
          <w:szCs w:val="32"/>
        </w:rPr>
        <w:t>家，外资企业</w:t>
      </w:r>
      <w:r>
        <w:rPr>
          <w:rFonts w:cs="Times New Roman" w:hint="eastAsia"/>
          <w:bCs/>
          <w:szCs w:val="32"/>
        </w:rPr>
        <w:t>39</w:t>
      </w:r>
      <w:r>
        <w:rPr>
          <w:rFonts w:cs="楷体_GB2312" w:hint="eastAsia"/>
          <w:bCs/>
          <w:szCs w:val="32"/>
        </w:rPr>
        <w:t>家，合资企业</w:t>
      </w:r>
      <w:r>
        <w:rPr>
          <w:rFonts w:cs="Times New Roman" w:hint="eastAsia"/>
          <w:bCs/>
          <w:szCs w:val="32"/>
        </w:rPr>
        <w:t>4</w:t>
      </w:r>
      <w:r>
        <w:rPr>
          <w:rFonts w:cs="楷体_GB2312" w:hint="eastAsia"/>
          <w:bCs/>
          <w:szCs w:val="32"/>
        </w:rPr>
        <w:t>家，具有独立组展能力企业</w:t>
      </w:r>
      <w:r>
        <w:rPr>
          <w:rFonts w:cs="Times New Roman" w:hint="eastAsia"/>
          <w:bCs/>
          <w:szCs w:val="32"/>
        </w:rPr>
        <w:t>26</w:t>
      </w:r>
      <w:r>
        <w:rPr>
          <w:rFonts w:cs="楷体_GB2312" w:hint="eastAsia"/>
          <w:bCs/>
          <w:szCs w:val="32"/>
        </w:rPr>
        <w:t>家。成功引进英国英富曼、瑞士迈氏、法国智奥集团等国际会展龙头企业在蓉设立独立法人机构或区域总部，同德国慕尼黑、英国塔苏斯、上海东</w:t>
      </w:r>
      <w:proofErr w:type="gramStart"/>
      <w:r>
        <w:rPr>
          <w:rFonts w:cs="楷体_GB2312" w:hint="eastAsia"/>
          <w:bCs/>
          <w:szCs w:val="32"/>
        </w:rPr>
        <w:t>浩</w:t>
      </w:r>
      <w:proofErr w:type="gramEnd"/>
      <w:r>
        <w:rPr>
          <w:rFonts w:cs="楷体_GB2312" w:hint="eastAsia"/>
          <w:bCs/>
          <w:szCs w:val="32"/>
        </w:rPr>
        <w:t>兰生等国际国内领先会展企业达成来蓉投资意向。成都市博览局联合国</w:t>
      </w:r>
      <w:proofErr w:type="gramStart"/>
      <w:r>
        <w:rPr>
          <w:rFonts w:cs="楷体_GB2312" w:hint="eastAsia"/>
          <w:bCs/>
          <w:szCs w:val="32"/>
        </w:rPr>
        <w:t>际大会</w:t>
      </w:r>
      <w:proofErr w:type="gramEnd"/>
      <w:r>
        <w:rPr>
          <w:rFonts w:cs="楷体_GB2312" w:hint="eastAsia"/>
          <w:bCs/>
          <w:szCs w:val="32"/>
        </w:rPr>
        <w:t>及会议协会、成都大学、《会议》杂志社共同成立全球首个</w:t>
      </w:r>
      <w:r>
        <w:rPr>
          <w:rFonts w:cs="Times New Roman" w:hint="eastAsia"/>
          <w:bCs/>
          <w:szCs w:val="32"/>
        </w:rPr>
        <w:t>ICCA</w:t>
      </w:r>
      <w:r>
        <w:rPr>
          <w:rFonts w:cs="楷体_GB2312" w:hint="eastAsia"/>
          <w:bCs/>
          <w:szCs w:val="32"/>
        </w:rPr>
        <w:t>国际会议研究及培训中心</w:t>
      </w:r>
      <w:r>
        <w:rPr>
          <w:rFonts w:cs="Times New Roman" w:hint="eastAsia"/>
          <w:bCs/>
          <w:szCs w:val="32"/>
        </w:rPr>
        <w:t>（</w:t>
      </w:r>
      <w:r>
        <w:rPr>
          <w:rFonts w:cs="Times New Roman" w:hint="eastAsia"/>
          <w:bCs/>
          <w:szCs w:val="32"/>
        </w:rPr>
        <w:t>CIMERT</w:t>
      </w:r>
      <w:r>
        <w:rPr>
          <w:rFonts w:cs="Times New Roman" w:hint="eastAsia"/>
          <w:bCs/>
          <w:szCs w:val="32"/>
        </w:rPr>
        <w:t>）</w:t>
      </w:r>
      <w:r>
        <w:rPr>
          <w:rFonts w:cs="楷体_GB2312" w:hint="eastAsia"/>
          <w:bCs/>
          <w:szCs w:val="32"/>
        </w:rPr>
        <w:t>，为成都会展业提供国际会议大数据收集与研究、国际会议经济理论研究以及国际会议行业人才培训等服务。</w:t>
      </w:r>
    </w:p>
    <w:bookmarkEnd w:id="18"/>
    <w:p w14:paraId="59FBB27B" w14:textId="77777777" w:rsidR="001F2B4F" w:rsidRDefault="00000000">
      <w:pPr>
        <w:overflowPunct w:val="0"/>
        <w:adjustRightInd w:val="0"/>
        <w:snapToGrid w:val="0"/>
        <w:spacing w:line="579" w:lineRule="exact"/>
        <w:ind w:firstLineChars="200" w:firstLine="632"/>
        <w:rPr>
          <w:rFonts w:cs="Times New Roman"/>
          <w:bCs/>
          <w:szCs w:val="32"/>
        </w:rPr>
      </w:pPr>
      <w:r>
        <w:rPr>
          <w:rFonts w:ascii="方正楷体_GBK" w:eastAsia="方正楷体_GBK" w:hAnsi="方正楷体_GBK" w:cs="方正楷体_GBK" w:hint="eastAsia"/>
          <w:szCs w:val="32"/>
          <w:lang w:val="zh-TW"/>
        </w:rPr>
        <w:t>营商环境持续优化。</w:t>
      </w:r>
      <w:r>
        <w:rPr>
          <w:rFonts w:cs="楷体_GB2312" w:hint="eastAsia"/>
          <w:bCs/>
          <w:szCs w:val="32"/>
        </w:rPr>
        <w:t>相继出台《成都市会展业发展专项资金管理办法》《关于促进会展产业新经济形态发展的实施意见》《关于成都市培育展会新模式激发增长新动能的指导意见》等</w:t>
      </w:r>
      <w:r>
        <w:rPr>
          <w:rFonts w:cs="Times New Roman" w:hint="eastAsia"/>
          <w:bCs/>
          <w:szCs w:val="32"/>
        </w:rPr>
        <w:t>15</w:t>
      </w:r>
      <w:r>
        <w:rPr>
          <w:rFonts w:cs="楷体_GB2312" w:hint="eastAsia"/>
          <w:bCs/>
          <w:szCs w:val="32"/>
        </w:rPr>
        <w:t>个专项政策，推动各区（市）县设立贸促分支机构、</w:t>
      </w:r>
      <w:proofErr w:type="gramStart"/>
      <w:r>
        <w:rPr>
          <w:rFonts w:cs="楷体_GB2312" w:hint="eastAsia"/>
          <w:bCs/>
          <w:szCs w:val="32"/>
        </w:rPr>
        <w:t>会展局</w:t>
      </w:r>
      <w:proofErr w:type="gramEnd"/>
      <w:r>
        <w:rPr>
          <w:rFonts w:cs="楷体_GB2312" w:hint="eastAsia"/>
          <w:bCs/>
          <w:szCs w:val="32"/>
        </w:rPr>
        <w:t>或博览机构，形成会展业发展工作网络体系，有效推动会展业高质量发展。积极实施“会展</w:t>
      </w:r>
      <w:r>
        <w:rPr>
          <w:rFonts w:cs="楷体_GB2312" w:hint="eastAsia"/>
          <w:bCs/>
          <w:szCs w:val="32"/>
        </w:rPr>
        <w:t>+</w:t>
      </w:r>
      <w:r>
        <w:rPr>
          <w:rFonts w:cs="楷体_GB2312" w:hint="eastAsia"/>
          <w:bCs/>
          <w:szCs w:val="32"/>
        </w:rPr>
        <w:t>”行动，探索形成了“会展</w:t>
      </w:r>
      <w:r>
        <w:rPr>
          <w:rFonts w:cs="楷体_GB2312" w:hint="eastAsia"/>
          <w:bCs/>
          <w:szCs w:val="32"/>
        </w:rPr>
        <w:t>+</w:t>
      </w:r>
      <w:r>
        <w:rPr>
          <w:rFonts w:cs="楷体_GB2312" w:hint="eastAsia"/>
          <w:bCs/>
          <w:szCs w:val="32"/>
        </w:rPr>
        <w:t>产业</w:t>
      </w:r>
      <w:r>
        <w:rPr>
          <w:rFonts w:cs="楷体_GB2312" w:hint="eastAsia"/>
          <w:bCs/>
          <w:szCs w:val="32"/>
        </w:rPr>
        <w:t>+</w:t>
      </w:r>
      <w:r>
        <w:rPr>
          <w:rFonts w:cs="楷体_GB2312" w:hint="eastAsia"/>
          <w:bCs/>
          <w:szCs w:val="32"/>
        </w:rPr>
        <w:t>功能区</w:t>
      </w:r>
      <w:r>
        <w:rPr>
          <w:rFonts w:cs="楷体_GB2312" w:hint="eastAsia"/>
          <w:bCs/>
          <w:szCs w:val="32"/>
        </w:rPr>
        <w:t>+</w:t>
      </w:r>
      <w:r>
        <w:rPr>
          <w:rFonts w:cs="楷体_GB2312" w:hint="eastAsia"/>
          <w:bCs/>
          <w:szCs w:val="32"/>
        </w:rPr>
        <w:t>投资贸易”创新发展模式，实现会展与产业高效联动，打造“展产利益共同体”。全国首创“</w:t>
      </w:r>
      <w:bookmarkStart w:id="19" w:name="_Hlk93393186"/>
      <w:r>
        <w:rPr>
          <w:rFonts w:cs="楷体_GB2312" w:hint="eastAsia"/>
          <w:bCs/>
          <w:szCs w:val="32"/>
        </w:rPr>
        <w:t>成都会展新经济产业创新基地</w:t>
      </w:r>
      <w:bookmarkEnd w:id="19"/>
      <w:r>
        <w:rPr>
          <w:rFonts w:cs="楷体_GB2312" w:hint="eastAsia"/>
          <w:bCs/>
          <w:szCs w:val="32"/>
        </w:rPr>
        <w:t>”和“成</w:t>
      </w:r>
      <w:r>
        <w:rPr>
          <w:rFonts w:cs="楷体_GB2312" w:hint="eastAsia"/>
          <w:bCs/>
          <w:szCs w:val="32"/>
        </w:rPr>
        <w:lastRenderedPageBreak/>
        <w:t>都绿色会展经济创新中心”，为吸引更多创业型、创新型会展企业筑巢落户提供发展条件。</w:t>
      </w:r>
    </w:p>
    <w:p w14:paraId="27FAEEDA"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20" w:name="_Hlk96348344"/>
      <w:bookmarkStart w:id="21" w:name="_Toc93092568"/>
      <w:bookmarkStart w:id="22" w:name="_Toc96622372"/>
      <w:r>
        <w:rPr>
          <w:rFonts w:ascii="方正黑体_GBK" w:eastAsia="方正黑体_GBK" w:cs="宋体" w:hint="eastAsia"/>
          <w:bCs/>
          <w:kern w:val="0"/>
          <w:szCs w:val="32"/>
          <w:lang w:val="zh-CN" w:bidi="zh-CN"/>
        </w:rPr>
        <w:t>第</w:t>
      </w:r>
      <w:r>
        <w:rPr>
          <w:rFonts w:ascii="方正黑体_GBK" w:eastAsia="方正黑体_GBK" w:cs="宋体"/>
          <w:bCs/>
          <w:kern w:val="0"/>
          <w:szCs w:val="32"/>
          <w:lang w:val="zh-CN" w:bidi="zh-CN"/>
        </w:rPr>
        <w:t>二</w:t>
      </w:r>
      <w:r>
        <w:rPr>
          <w:rFonts w:ascii="方正黑体_GBK" w:eastAsia="方正黑体_GBK" w:cs="宋体" w:hint="eastAsia"/>
          <w:bCs/>
          <w:kern w:val="0"/>
          <w:szCs w:val="32"/>
          <w:lang w:val="zh-CN" w:bidi="zh-CN"/>
        </w:rPr>
        <w:t>节</w:t>
      </w:r>
      <w:bookmarkEnd w:id="20"/>
      <w:r>
        <w:rPr>
          <w:rFonts w:ascii="方正黑体_GBK" w:eastAsia="方正黑体_GBK" w:cs="宋体" w:hint="eastAsia"/>
          <w:bCs/>
          <w:kern w:val="0"/>
          <w:szCs w:val="32"/>
          <w:lang w:val="zh-CN" w:bidi="zh-CN"/>
        </w:rPr>
        <w:t xml:space="preserve">  </w:t>
      </w:r>
      <w:r>
        <w:rPr>
          <w:rFonts w:ascii="方正黑体_GBK" w:eastAsia="方正黑体_GBK" w:cs="宋体"/>
          <w:bCs/>
          <w:kern w:val="0"/>
          <w:szCs w:val="32"/>
          <w:lang w:val="zh-CN" w:bidi="zh-CN"/>
        </w:rPr>
        <w:t>发展</w:t>
      </w:r>
      <w:bookmarkEnd w:id="13"/>
      <w:bookmarkEnd w:id="14"/>
      <w:bookmarkEnd w:id="15"/>
      <w:r>
        <w:rPr>
          <w:rFonts w:ascii="方正黑体_GBK" w:eastAsia="方正黑体_GBK" w:cs="宋体" w:hint="eastAsia"/>
          <w:bCs/>
          <w:kern w:val="0"/>
          <w:szCs w:val="32"/>
          <w:lang w:val="zh-CN" w:bidi="zh-CN"/>
        </w:rPr>
        <w:t>形势</w:t>
      </w:r>
      <w:bookmarkEnd w:id="21"/>
      <w:bookmarkEnd w:id="22"/>
    </w:p>
    <w:p w14:paraId="60A9F6B0" w14:textId="77777777" w:rsidR="001F2B4F" w:rsidRDefault="00000000">
      <w:pPr>
        <w:overflowPunct w:val="0"/>
        <w:adjustRightInd w:val="0"/>
        <w:snapToGrid w:val="0"/>
        <w:spacing w:line="579" w:lineRule="exact"/>
        <w:ind w:firstLineChars="200" w:firstLine="632"/>
        <w:rPr>
          <w:rFonts w:cs="Times New Roman"/>
          <w:bCs/>
          <w:szCs w:val="32"/>
        </w:rPr>
      </w:pPr>
      <w:r>
        <w:rPr>
          <w:rFonts w:ascii="方正楷体_GBK" w:eastAsia="方正楷体_GBK" w:hAnsi="方正楷体_GBK" w:cs="方正楷体_GBK" w:hint="eastAsia"/>
          <w:szCs w:val="32"/>
          <w:lang w:val="zh-TW"/>
        </w:rPr>
        <w:t>发展机遇。</w:t>
      </w:r>
      <w:r>
        <w:rPr>
          <w:rFonts w:cs="Times New Roman" w:hint="eastAsia"/>
          <w:bCs/>
          <w:szCs w:val="32"/>
        </w:rPr>
        <w:t>抢抓国家构建以国内大循环为主体、国内国际双循环相互促进的新发展格局机遇，促进成都会展业提升资源要素汇聚力。借助“一带一路”建设、西部陆海新通道建设深入推进机遇，提升成都会展业对外开放合作水平，不断拓展发展空间，全面增强国际交往能力。依托</w:t>
      </w:r>
      <w:bookmarkStart w:id="23" w:name="_Hlk96348936"/>
      <w:r>
        <w:rPr>
          <w:rFonts w:cs="Times New Roman" w:hint="eastAsia"/>
          <w:bCs/>
          <w:szCs w:val="32"/>
        </w:rPr>
        <w:t>长江经济带发展、新时代推进西部大开发、成渝地区双城经济圈建设</w:t>
      </w:r>
      <w:bookmarkEnd w:id="23"/>
      <w:r>
        <w:rPr>
          <w:rFonts w:cs="Times New Roman" w:hint="eastAsia"/>
          <w:bCs/>
          <w:szCs w:val="32"/>
        </w:rPr>
        <w:t>、建设</w:t>
      </w:r>
      <w:proofErr w:type="gramStart"/>
      <w:r>
        <w:rPr>
          <w:rFonts w:cs="Times New Roman" w:hint="eastAsia"/>
          <w:bCs/>
          <w:szCs w:val="32"/>
        </w:rPr>
        <w:t>践行</w:t>
      </w:r>
      <w:proofErr w:type="gramEnd"/>
      <w:r>
        <w:rPr>
          <w:rFonts w:cs="Times New Roman" w:hint="eastAsia"/>
          <w:bCs/>
          <w:szCs w:val="32"/>
        </w:rPr>
        <w:t>新发展理念的公园城市示范区机遇，将进一步推动成都由内陆腹地转变为开放前沿，有利于成都加快区域合作，集成会展优质资源，共建世界级会展品牌，引领区域协同发展。</w:t>
      </w:r>
      <w:r>
        <w:rPr>
          <w:rFonts w:cs="楷体_GB2312" w:hint="eastAsia"/>
          <w:bCs/>
          <w:spacing w:val="-6"/>
          <w:szCs w:val="32"/>
        </w:rPr>
        <w:t>围绕国家推动实现</w:t>
      </w:r>
      <w:proofErr w:type="gramStart"/>
      <w:r>
        <w:rPr>
          <w:rFonts w:cs="楷体_GB2312" w:hint="eastAsia"/>
          <w:bCs/>
          <w:spacing w:val="-6"/>
          <w:szCs w:val="32"/>
        </w:rPr>
        <w:t>碳达峰碳</w:t>
      </w:r>
      <w:proofErr w:type="gramEnd"/>
      <w:r>
        <w:rPr>
          <w:rFonts w:cs="楷体_GB2312" w:hint="eastAsia"/>
          <w:bCs/>
          <w:spacing w:val="-6"/>
          <w:szCs w:val="32"/>
        </w:rPr>
        <w:t>中和目标、世界</w:t>
      </w:r>
      <w:r>
        <w:rPr>
          <w:rFonts w:cs="楷体_GB2312" w:hint="eastAsia"/>
          <w:bCs/>
          <w:szCs w:val="32"/>
        </w:rPr>
        <w:t>新一轮科技革命和产业变革深入发展</w:t>
      </w:r>
      <w:r>
        <w:rPr>
          <w:rFonts w:cs="楷体_GB2312" w:hint="eastAsia"/>
          <w:bCs/>
          <w:spacing w:val="-6"/>
          <w:szCs w:val="32"/>
        </w:rPr>
        <w:t>等新发展机遇，有助于推动成都会展业数字化、绿色化、生态化发展。</w:t>
      </w:r>
    </w:p>
    <w:p w14:paraId="7369A171" w14:textId="77777777" w:rsidR="001F2B4F" w:rsidRDefault="00000000">
      <w:pPr>
        <w:overflowPunct w:val="0"/>
        <w:adjustRightInd w:val="0"/>
        <w:snapToGrid w:val="0"/>
        <w:spacing w:line="579" w:lineRule="exact"/>
        <w:ind w:firstLineChars="200" w:firstLine="632"/>
        <w:rPr>
          <w:rFonts w:cs="Times New Roman"/>
          <w:bCs/>
          <w:szCs w:val="32"/>
        </w:rPr>
      </w:pPr>
      <w:bookmarkStart w:id="24" w:name="_Hlk91946800"/>
      <w:bookmarkStart w:id="25" w:name="_Toc65700507"/>
      <w:r>
        <w:rPr>
          <w:rFonts w:ascii="方正楷体_GBK" w:eastAsia="方正楷体_GBK" w:hAnsi="方正楷体_GBK" w:cs="方正楷体_GBK" w:hint="eastAsia"/>
          <w:szCs w:val="32"/>
          <w:lang w:val="zh-TW"/>
        </w:rPr>
        <w:t>主要挑战。</w:t>
      </w:r>
      <w:r>
        <w:rPr>
          <w:rFonts w:cs="Times New Roman" w:hint="eastAsia"/>
          <w:bCs/>
          <w:szCs w:val="32"/>
        </w:rPr>
        <w:t>当前，百年变局与世纪疫情交织激荡，全球治理体系深刻重塑，国际格局加速演变，面临的机遇前所未有，面对的挑战严峻复杂。国际环境日趋复杂，不稳定性不确定性明显增加，世界经济陷入低迷期，经济全球化遭遇逆流，</w:t>
      </w:r>
      <w:r>
        <w:rPr>
          <w:rFonts w:cs="楷体_GB2312" w:hint="eastAsia"/>
          <w:bCs/>
          <w:szCs w:val="32"/>
        </w:rPr>
        <w:t>对</w:t>
      </w:r>
      <w:r>
        <w:rPr>
          <w:rFonts w:cs="Times New Roman" w:hint="eastAsia"/>
          <w:bCs/>
          <w:szCs w:val="32"/>
        </w:rPr>
        <w:t>传统会展模式和</w:t>
      </w:r>
      <w:r>
        <w:rPr>
          <w:rFonts w:cs="楷体_GB2312" w:hint="eastAsia"/>
          <w:bCs/>
          <w:szCs w:val="32"/>
        </w:rPr>
        <w:t>各种服务紧密合作形成的价值链体</w:t>
      </w:r>
      <w:proofErr w:type="gramStart"/>
      <w:r>
        <w:rPr>
          <w:rFonts w:cs="楷体_GB2312" w:hint="eastAsia"/>
          <w:bCs/>
          <w:szCs w:val="32"/>
        </w:rPr>
        <w:t>系造成</w:t>
      </w:r>
      <w:proofErr w:type="gramEnd"/>
      <w:r>
        <w:rPr>
          <w:rFonts w:cs="楷体_GB2312" w:hint="eastAsia"/>
          <w:bCs/>
          <w:szCs w:val="32"/>
        </w:rPr>
        <w:t>较大冲击，国际交流合作持续受阻，对成都会展业发展构成较大挑战。</w:t>
      </w:r>
      <w:bookmarkEnd w:id="24"/>
      <w:r>
        <w:rPr>
          <w:rFonts w:cs="楷体_GB2312" w:hint="eastAsia"/>
          <w:bCs/>
          <w:szCs w:val="32"/>
        </w:rPr>
        <w:t>同时，</w:t>
      </w:r>
      <w:r>
        <w:rPr>
          <w:rFonts w:cs="Times New Roman" w:hint="eastAsia"/>
          <w:bCs/>
          <w:szCs w:val="32"/>
        </w:rPr>
        <w:t>国内城市竞争日益加剧，</w:t>
      </w:r>
      <w:r>
        <w:rPr>
          <w:rFonts w:cs="楷体_GB2312" w:hint="eastAsia"/>
          <w:bCs/>
          <w:szCs w:val="32"/>
        </w:rPr>
        <w:t>全国主要会展城市加快扩大会展场馆规模，不断加大政策支持力度，导致会展项目、会展市场和会展人才等</w:t>
      </w:r>
      <w:r>
        <w:rPr>
          <w:rFonts w:cs="楷体_GB2312" w:hint="eastAsia"/>
          <w:bCs/>
          <w:szCs w:val="32"/>
        </w:rPr>
        <w:lastRenderedPageBreak/>
        <w:t>竞争日益激烈。</w:t>
      </w:r>
    </w:p>
    <w:p w14:paraId="36634E48" w14:textId="77777777" w:rsidR="001F2B4F" w:rsidRDefault="00000000">
      <w:pPr>
        <w:overflowPunct w:val="0"/>
        <w:adjustRightInd w:val="0"/>
        <w:snapToGrid w:val="0"/>
        <w:spacing w:line="579" w:lineRule="exact"/>
        <w:ind w:firstLineChars="200" w:firstLine="632"/>
        <w:rPr>
          <w:rFonts w:cs="楷体_GB2312"/>
          <w:bCs/>
          <w:szCs w:val="32"/>
        </w:rPr>
      </w:pPr>
      <w:r>
        <w:rPr>
          <w:rFonts w:ascii="方正楷体_GBK" w:eastAsia="方正楷体_GBK" w:hAnsi="方正楷体_GBK" w:cs="方正楷体_GBK" w:hint="eastAsia"/>
          <w:szCs w:val="32"/>
          <w:lang w:val="zh-TW"/>
        </w:rPr>
        <w:t>存在问题。</w:t>
      </w:r>
      <w:r>
        <w:rPr>
          <w:rFonts w:cs="楷体_GB2312" w:hint="eastAsia"/>
          <w:bCs/>
          <w:szCs w:val="32"/>
        </w:rPr>
        <w:t>“十三五”期间，成都会展业虽然取得显著成效，但也存在</w:t>
      </w:r>
      <w:proofErr w:type="gramStart"/>
      <w:r>
        <w:rPr>
          <w:rFonts w:cs="楷体_GB2312" w:hint="eastAsia"/>
          <w:bCs/>
          <w:szCs w:val="32"/>
        </w:rPr>
        <w:t>会展链主企业</w:t>
      </w:r>
      <w:proofErr w:type="gramEnd"/>
      <w:r>
        <w:rPr>
          <w:rFonts w:cs="楷体_GB2312" w:hint="eastAsia"/>
          <w:bCs/>
          <w:szCs w:val="32"/>
        </w:rPr>
        <w:t>不强、会展价值产出不够、会展创新动力不足、会展配套服务不全等问题，倒逼成都会展业既要顺应趋势、把握机遇，又要科学应变、主动求变，努力在危机中育先机、于变局中开新局。</w:t>
      </w:r>
    </w:p>
    <w:p w14:paraId="1ABEFF18" w14:textId="77777777" w:rsidR="001F2B4F" w:rsidRDefault="001F2B4F">
      <w:pPr>
        <w:pStyle w:val="a0"/>
        <w:overflowPunct w:val="0"/>
        <w:spacing w:after="0" w:line="579" w:lineRule="exact"/>
        <w:ind w:firstLine="632"/>
      </w:pPr>
    </w:p>
    <w:p w14:paraId="2C4CF484" w14:textId="77777777" w:rsidR="001F2B4F" w:rsidRDefault="00000000">
      <w:pPr>
        <w:overflowPunct w:val="0"/>
        <w:autoSpaceDE w:val="0"/>
        <w:autoSpaceDN w:val="0"/>
        <w:adjustRightInd w:val="0"/>
        <w:snapToGrid w:val="0"/>
        <w:spacing w:line="579" w:lineRule="exact"/>
        <w:jc w:val="center"/>
        <w:outlineLvl w:val="0"/>
        <w:rPr>
          <w:rFonts w:ascii="方正小标宋_GBK" w:eastAsia="方正小标宋_GBK" w:hAnsi="方正小标宋_GBK" w:cs="方正黑体_GBK"/>
          <w:bCs/>
          <w:szCs w:val="32"/>
        </w:rPr>
      </w:pPr>
      <w:bookmarkStart w:id="26" w:name="_Hlk96349352"/>
      <w:bookmarkStart w:id="27" w:name="_Toc78795985"/>
      <w:bookmarkStart w:id="28" w:name="_Toc78795957"/>
      <w:bookmarkStart w:id="29" w:name="_Toc93092569"/>
      <w:bookmarkStart w:id="30" w:name="_Toc96622373"/>
      <w:bookmarkStart w:id="31" w:name="_Toc65700533"/>
      <w:bookmarkStart w:id="32" w:name="_Toc78795968"/>
      <w:bookmarkStart w:id="33" w:name="_Toc78795996"/>
      <w:bookmarkEnd w:id="25"/>
      <w:r>
        <w:rPr>
          <w:rFonts w:ascii="方正小标宋_GBK" w:eastAsia="方正小标宋_GBK" w:hAnsi="方正小标宋_GBK" w:cs="方正黑体_GBK"/>
          <w:bCs/>
          <w:szCs w:val="32"/>
        </w:rPr>
        <w:t>第二章</w:t>
      </w:r>
      <w:bookmarkEnd w:id="26"/>
      <w:r>
        <w:rPr>
          <w:rFonts w:ascii="方正小标宋_GBK" w:eastAsia="方正小标宋_GBK" w:hAnsi="方正小标宋_GBK" w:cs="方正黑体_GBK"/>
          <w:bCs/>
          <w:szCs w:val="32"/>
        </w:rPr>
        <w:t xml:space="preserve"> </w:t>
      </w:r>
      <w:bookmarkEnd w:id="27"/>
      <w:bookmarkEnd w:id="28"/>
      <w:r>
        <w:rPr>
          <w:rFonts w:ascii="方正小标宋_GBK" w:eastAsia="方正小标宋_GBK" w:hAnsi="方正小标宋_GBK" w:cs="方正黑体_GBK"/>
          <w:bCs/>
          <w:szCs w:val="32"/>
        </w:rPr>
        <w:t xml:space="preserve"> </w:t>
      </w:r>
      <w:bookmarkEnd w:id="29"/>
      <w:r>
        <w:rPr>
          <w:rFonts w:ascii="方正小标宋_GBK" w:eastAsia="方正小标宋_GBK" w:hAnsi="方正小标宋_GBK" w:cs="方正黑体_GBK" w:hint="eastAsia"/>
          <w:bCs/>
          <w:szCs w:val="32"/>
        </w:rPr>
        <w:t>总体要求</w:t>
      </w:r>
      <w:bookmarkEnd w:id="30"/>
    </w:p>
    <w:p w14:paraId="1F4D39A8" w14:textId="77777777" w:rsidR="001F2B4F" w:rsidRDefault="001F2B4F">
      <w:pPr>
        <w:pStyle w:val="a0"/>
        <w:overflowPunct w:val="0"/>
        <w:spacing w:after="0" w:line="579" w:lineRule="exact"/>
        <w:ind w:firstLine="632"/>
      </w:pPr>
    </w:p>
    <w:p w14:paraId="70A9A35E"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34" w:name="_Toc96622374"/>
      <w:bookmarkStart w:id="35" w:name="_Toc93092570"/>
      <w:bookmarkStart w:id="36" w:name="_Toc78795986"/>
      <w:bookmarkStart w:id="37" w:name="_Toc65700516"/>
      <w:bookmarkStart w:id="38" w:name="_Toc78795958"/>
      <w:bookmarkStart w:id="39" w:name="_Hlk96355662"/>
      <w:r>
        <w:rPr>
          <w:rFonts w:ascii="方正黑体_GBK" w:eastAsia="方正黑体_GBK" w:cs="宋体" w:hint="eastAsia"/>
          <w:bCs/>
          <w:kern w:val="0"/>
          <w:szCs w:val="32"/>
          <w:lang w:val="zh-CN" w:bidi="zh-CN"/>
        </w:rPr>
        <w:t xml:space="preserve">第一节 </w:t>
      </w:r>
      <w:r>
        <w:rPr>
          <w:rFonts w:ascii="方正黑体_GBK" w:eastAsia="方正黑体_GBK" w:cs="宋体"/>
          <w:bCs/>
          <w:kern w:val="0"/>
          <w:szCs w:val="32"/>
          <w:lang w:val="zh-CN" w:bidi="zh-CN"/>
        </w:rPr>
        <w:t xml:space="preserve"> 指导思想</w:t>
      </w:r>
      <w:bookmarkEnd w:id="34"/>
      <w:bookmarkEnd w:id="35"/>
      <w:bookmarkEnd w:id="36"/>
      <w:bookmarkEnd w:id="37"/>
      <w:bookmarkEnd w:id="38"/>
    </w:p>
    <w:p w14:paraId="36ED35F9" w14:textId="77777777" w:rsidR="001F2B4F" w:rsidRDefault="00000000">
      <w:pPr>
        <w:overflowPunct w:val="0"/>
        <w:adjustRightInd w:val="0"/>
        <w:snapToGrid w:val="0"/>
        <w:spacing w:line="579" w:lineRule="exact"/>
        <w:ind w:firstLineChars="200" w:firstLine="632"/>
        <w:rPr>
          <w:rFonts w:cs="仿宋"/>
          <w:bCs/>
          <w:szCs w:val="32"/>
        </w:rPr>
      </w:pPr>
      <w:bookmarkStart w:id="40" w:name="_Toc65700517"/>
      <w:bookmarkStart w:id="41" w:name="_Toc78795987"/>
      <w:bookmarkStart w:id="42" w:name="_Toc78795959"/>
      <w:bookmarkEnd w:id="39"/>
      <w:r>
        <w:rPr>
          <w:rFonts w:cs="仿宋" w:hint="eastAsia"/>
          <w:bCs/>
          <w:szCs w:val="32"/>
        </w:rPr>
        <w:t>高举中国特色社会主义伟大旗帜，坚持以习近平新时代中国特色社会主义思想为指导，深入贯彻党的十九大和十九届历次全会精神，全面落</w:t>
      </w:r>
      <w:proofErr w:type="gramStart"/>
      <w:r>
        <w:rPr>
          <w:rFonts w:cs="仿宋" w:hint="eastAsia"/>
          <w:bCs/>
          <w:szCs w:val="32"/>
        </w:rPr>
        <w:t>实习近</w:t>
      </w:r>
      <w:proofErr w:type="gramEnd"/>
      <w:r>
        <w:rPr>
          <w:rFonts w:cs="仿宋" w:hint="eastAsia"/>
          <w:bCs/>
          <w:szCs w:val="32"/>
        </w:rPr>
        <w:t>平总书记对四川及成都工作系列重要指示精神和党中央、省委、市委重大决策部署，以建设</w:t>
      </w:r>
      <w:proofErr w:type="gramStart"/>
      <w:r>
        <w:rPr>
          <w:rFonts w:cs="仿宋" w:hint="eastAsia"/>
          <w:bCs/>
          <w:szCs w:val="32"/>
        </w:rPr>
        <w:t>践行</w:t>
      </w:r>
      <w:proofErr w:type="gramEnd"/>
      <w:r>
        <w:rPr>
          <w:rFonts w:cs="仿宋" w:hint="eastAsia"/>
          <w:bCs/>
          <w:szCs w:val="32"/>
        </w:rPr>
        <w:t>新发展理念的公园城市示范区为统领，推动会展业高质量发展，服务于成都唱好“双城记”、建强“都市圈”、提质“幸福城”。以深化供给侧结构性改革为主线，以改革创新为根本动力，以“名展、名馆、名企、名业”为抓手，</w:t>
      </w:r>
      <w:bookmarkStart w:id="43" w:name="_Hlk97644400"/>
      <w:r>
        <w:rPr>
          <w:rFonts w:cs="仿宋" w:hint="eastAsia"/>
          <w:bCs/>
          <w:szCs w:val="32"/>
        </w:rPr>
        <w:t>探索推进数字会展和绿色会展，提升会展业专业化、国际化、品牌化、信息化水平，</w:t>
      </w:r>
      <w:bookmarkEnd w:id="43"/>
      <w:r>
        <w:rPr>
          <w:rFonts w:cs="仿宋" w:hint="eastAsia"/>
          <w:bCs/>
          <w:szCs w:val="32"/>
        </w:rPr>
        <w:t>构建体系完善、市场活跃、品牌集聚、效益优良的会展经济新格局，将成都建设成为具有全球影响力的国际会展之都，助力世界文化名城建设，</w:t>
      </w:r>
      <w:bookmarkStart w:id="44" w:name="_Hlk96349322"/>
      <w:bookmarkStart w:id="45" w:name="_Hlk92819513"/>
      <w:r>
        <w:rPr>
          <w:rFonts w:cs="仿宋" w:hint="eastAsia"/>
          <w:bCs/>
          <w:szCs w:val="32"/>
        </w:rPr>
        <w:t>为</w:t>
      </w:r>
      <w:bookmarkEnd w:id="44"/>
      <w:bookmarkEnd w:id="45"/>
      <w:r>
        <w:rPr>
          <w:rFonts w:cs="仿宋" w:hint="eastAsia"/>
          <w:bCs/>
          <w:szCs w:val="32"/>
        </w:rPr>
        <w:t>打造中国西部具有全球影响力和美誉度的现代化国际大都市贡献会</w:t>
      </w:r>
      <w:r>
        <w:rPr>
          <w:rFonts w:cs="仿宋" w:hint="eastAsia"/>
          <w:bCs/>
          <w:szCs w:val="32"/>
        </w:rPr>
        <w:lastRenderedPageBreak/>
        <w:t>展力量。</w:t>
      </w:r>
    </w:p>
    <w:p w14:paraId="453C6FCB"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46" w:name="_Toc93092571"/>
      <w:bookmarkStart w:id="47" w:name="_Toc96622375"/>
      <w:bookmarkStart w:id="48" w:name="_Hlk96355742"/>
      <w:r>
        <w:rPr>
          <w:rFonts w:ascii="方正黑体_GBK" w:eastAsia="方正黑体_GBK" w:cs="宋体" w:hint="eastAsia"/>
          <w:bCs/>
          <w:kern w:val="0"/>
          <w:szCs w:val="32"/>
          <w:lang w:val="zh-CN" w:bidi="zh-CN"/>
        </w:rPr>
        <w:t xml:space="preserve">第二节  </w:t>
      </w:r>
      <w:r>
        <w:rPr>
          <w:rFonts w:ascii="方正黑体_GBK" w:eastAsia="方正黑体_GBK" w:cs="宋体"/>
          <w:bCs/>
          <w:kern w:val="0"/>
          <w:szCs w:val="32"/>
          <w:lang w:val="zh-CN" w:bidi="zh-CN"/>
        </w:rPr>
        <w:t>基本原则</w:t>
      </w:r>
      <w:bookmarkEnd w:id="40"/>
      <w:bookmarkEnd w:id="41"/>
      <w:bookmarkEnd w:id="42"/>
      <w:bookmarkEnd w:id="46"/>
      <w:bookmarkEnd w:id="47"/>
    </w:p>
    <w:bookmarkEnd w:id="48"/>
    <w:p w14:paraId="3A998C86" w14:textId="77777777" w:rsidR="001F2B4F" w:rsidRDefault="00000000">
      <w:pPr>
        <w:overflowPunct w:val="0"/>
        <w:adjustRightInd w:val="0"/>
        <w:snapToGrid w:val="0"/>
        <w:spacing w:line="579" w:lineRule="exact"/>
        <w:ind w:firstLineChars="200" w:firstLine="632"/>
        <w:rPr>
          <w:rFonts w:cs="Times New Roman"/>
          <w:bCs/>
          <w:szCs w:val="32"/>
        </w:rPr>
      </w:pPr>
      <w:r>
        <w:rPr>
          <w:rFonts w:ascii="方正楷体_GBK" w:eastAsia="方正楷体_GBK" w:hAnsi="方正楷体_GBK" w:cs="方正楷体_GBK" w:hint="eastAsia"/>
          <w:szCs w:val="32"/>
          <w:lang w:val="zh-TW"/>
        </w:rPr>
        <w:t>全球视野</w:t>
      </w:r>
      <w:r>
        <w:rPr>
          <w:rFonts w:ascii="方正楷体_GBK" w:eastAsia="方正楷体_GBK" w:hAnsi="方正楷体_GBK" w:cs="方正楷体_GBK"/>
          <w:szCs w:val="32"/>
          <w:lang w:val="zh-TW"/>
        </w:rPr>
        <w:t>、</w:t>
      </w:r>
      <w:r>
        <w:rPr>
          <w:rFonts w:ascii="方正楷体_GBK" w:eastAsia="方正楷体_GBK" w:hAnsi="方正楷体_GBK" w:cs="方正楷体_GBK" w:hint="eastAsia"/>
          <w:szCs w:val="32"/>
          <w:lang w:val="zh-TW"/>
        </w:rPr>
        <w:t>国际化</w:t>
      </w:r>
      <w:r>
        <w:rPr>
          <w:rFonts w:ascii="方正楷体_GBK" w:eastAsia="方正楷体_GBK" w:hAnsi="方正楷体_GBK" w:cs="方正楷体_GBK"/>
          <w:szCs w:val="32"/>
          <w:lang w:val="zh-TW"/>
        </w:rPr>
        <w:t>发展</w:t>
      </w:r>
      <w:r>
        <w:rPr>
          <w:rFonts w:ascii="方正楷体_GBK" w:eastAsia="方正楷体_GBK" w:hAnsi="方正楷体_GBK" w:cs="方正楷体_GBK" w:hint="eastAsia"/>
          <w:szCs w:val="32"/>
          <w:lang w:val="zh-TW"/>
        </w:rPr>
        <w:t>。</w:t>
      </w:r>
      <w:r>
        <w:rPr>
          <w:rFonts w:cs="Times New Roman" w:hint="eastAsia"/>
          <w:bCs/>
          <w:szCs w:val="32"/>
        </w:rPr>
        <w:t>坚持</w:t>
      </w:r>
      <w:r>
        <w:rPr>
          <w:rFonts w:cs="仿宋" w:hint="eastAsia"/>
          <w:bCs/>
          <w:szCs w:val="32"/>
        </w:rPr>
        <w:t>“</w:t>
      </w:r>
      <w:r>
        <w:rPr>
          <w:rFonts w:cs="Times New Roman" w:hint="eastAsia"/>
          <w:bCs/>
          <w:szCs w:val="32"/>
        </w:rPr>
        <w:t>引进来</w:t>
      </w:r>
      <w:r>
        <w:rPr>
          <w:rFonts w:cs="仿宋" w:hint="eastAsia"/>
          <w:bCs/>
          <w:szCs w:val="32"/>
        </w:rPr>
        <w:t>”</w:t>
      </w:r>
      <w:r>
        <w:rPr>
          <w:rFonts w:cs="Times New Roman" w:hint="eastAsia"/>
          <w:bCs/>
          <w:szCs w:val="32"/>
        </w:rPr>
        <w:t>和</w:t>
      </w:r>
      <w:r>
        <w:rPr>
          <w:rFonts w:cs="仿宋" w:hint="eastAsia"/>
          <w:bCs/>
          <w:szCs w:val="32"/>
        </w:rPr>
        <w:t>“</w:t>
      </w:r>
      <w:r>
        <w:rPr>
          <w:rFonts w:cs="Times New Roman" w:hint="eastAsia"/>
          <w:bCs/>
          <w:szCs w:val="32"/>
        </w:rPr>
        <w:t>走出去</w:t>
      </w:r>
      <w:r>
        <w:rPr>
          <w:rFonts w:cs="仿宋" w:hint="eastAsia"/>
          <w:bCs/>
          <w:szCs w:val="32"/>
        </w:rPr>
        <w:t>”</w:t>
      </w:r>
      <w:r>
        <w:rPr>
          <w:rFonts w:cs="Times New Roman" w:hint="eastAsia"/>
          <w:bCs/>
          <w:szCs w:val="32"/>
        </w:rPr>
        <w:t>并重</w:t>
      </w:r>
      <w:r>
        <w:rPr>
          <w:rFonts w:cs="Times New Roman"/>
          <w:bCs/>
          <w:szCs w:val="32"/>
        </w:rPr>
        <w:t>，</w:t>
      </w:r>
      <w:r>
        <w:rPr>
          <w:rFonts w:cs="楷体_GB2312" w:hint="eastAsia"/>
          <w:bCs/>
          <w:szCs w:val="32"/>
        </w:rPr>
        <w:t>加强国际交流合作，不断提升成都会展国际影响力和全球显示度，构建更大范围、更宽领域、更深层次对外开放新格局。</w:t>
      </w:r>
    </w:p>
    <w:p w14:paraId="2FB0B8FD" w14:textId="77777777" w:rsidR="001F2B4F" w:rsidRDefault="00000000">
      <w:pPr>
        <w:pStyle w:val="a0"/>
        <w:overflowPunct w:val="0"/>
        <w:adjustRightInd w:val="0"/>
        <w:snapToGrid w:val="0"/>
        <w:spacing w:after="0" w:line="579" w:lineRule="exact"/>
        <w:ind w:firstLine="632"/>
      </w:pPr>
      <w:proofErr w:type="gramStart"/>
      <w:r>
        <w:rPr>
          <w:rFonts w:ascii="方正楷体_GBK" w:eastAsia="方正楷体_GBK" w:hAnsi="方正楷体_GBK" w:cs="方正楷体_GBK" w:hint="eastAsia"/>
          <w:lang w:val="zh-TW"/>
        </w:rPr>
        <w:t>建圈强链</w:t>
      </w:r>
      <w:proofErr w:type="gramEnd"/>
      <w:r>
        <w:rPr>
          <w:rFonts w:ascii="方正楷体_GBK" w:eastAsia="方正楷体_GBK" w:hAnsi="方正楷体_GBK" w:cs="方正楷体_GBK"/>
          <w:lang w:val="zh-TW"/>
        </w:rPr>
        <w:t>、高质</w:t>
      </w:r>
      <w:r>
        <w:rPr>
          <w:rFonts w:ascii="方正楷体_GBK" w:eastAsia="方正楷体_GBK" w:hAnsi="方正楷体_GBK" w:cs="方正楷体_GBK" w:hint="eastAsia"/>
          <w:lang w:val="zh-TW"/>
        </w:rPr>
        <w:t>量</w:t>
      </w:r>
      <w:r>
        <w:rPr>
          <w:rFonts w:ascii="方正楷体_GBK" w:eastAsia="方正楷体_GBK" w:hAnsi="方正楷体_GBK" w:cs="方正楷体_GBK"/>
          <w:lang w:val="zh-TW"/>
        </w:rPr>
        <w:t>发展</w:t>
      </w:r>
      <w:r>
        <w:rPr>
          <w:rFonts w:ascii="方正楷体_GBK" w:eastAsia="方正楷体_GBK" w:hAnsi="方正楷体_GBK" w:cs="方正楷体_GBK" w:hint="eastAsia"/>
          <w:lang w:val="zh-TW"/>
        </w:rPr>
        <w:t>。</w:t>
      </w:r>
      <w:r>
        <w:rPr>
          <w:rFonts w:eastAsia="方正仿宋_GBK" w:hint="eastAsia"/>
        </w:rPr>
        <w:t>以会展产业链为主线，深刻把握产业融合化、集群化、生态化发展趋势，</w:t>
      </w:r>
      <w:proofErr w:type="gramStart"/>
      <w:r>
        <w:rPr>
          <w:rFonts w:eastAsia="方正仿宋_GBK" w:hint="eastAsia"/>
          <w:bCs w:val="0"/>
        </w:rPr>
        <w:t>推动链主企业</w:t>
      </w:r>
      <w:proofErr w:type="gramEnd"/>
      <w:r>
        <w:rPr>
          <w:rFonts w:eastAsia="方正仿宋_GBK" w:hint="eastAsia"/>
          <w:bCs w:val="0"/>
        </w:rPr>
        <w:t>、公共平台、领军人才等融合共生发展，</w:t>
      </w:r>
      <w:r>
        <w:rPr>
          <w:rFonts w:hint="eastAsia"/>
        </w:rPr>
        <w:t>跨区域协同构建产业生态圈。</w:t>
      </w:r>
    </w:p>
    <w:p w14:paraId="29B58041" w14:textId="77777777" w:rsidR="001F2B4F" w:rsidRDefault="00000000">
      <w:pPr>
        <w:overflowPunct w:val="0"/>
        <w:adjustRightInd w:val="0"/>
        <w:snapToGrid w:val="0"/>
        <w:spacing w:line="579" w:lineRule="exact"/>
        <w:ind w:firstLineChars="200" w:firstLine="632"/>
        <w:rPr>
          <w:rFonts w:cs="楷体_GB2312"/>
          <w:bCs/>
          <w:szCs w:val="32"/>
        </w:rPr>
      </w:pPr>
      <w:r>
        <w:rPr>
          <w:rFonts w:ascii="方正楷体_GBK" w:eastAsia="方正楷体_GBK" w:hAnsi="方正楷体_GBK" w:cs="方正楷体_GBK"/>
          <w:szCs w:val="32"/>
          <w:lang w:val="zh-TW"/>
        </w:rPr>
        <w:t>创新引领、数字</w:t>
      </w:r>
      <w:r>
        <w:rPr>
          <w:rFonts w:ascii="方正楷体_GBK" w:eastAsia="方正楷体_GBK" w:hAnsi="方正楷体_GBK" w:cs="方正楷体_GBK" w:hint="eastAsia"/>
          <w:szCs w:val="32"/>
          <w:lang w:val="zh-TW"/>
        </w:rPr>
        <w:t>化</w:t>
      </w:r>
      <w:r>
        <w:rPr>
          <w:rFonts w:ascii="方正楷体_GBK" w:eastAsia="方正楷体_GBK" w:hAnsi="方正楷体_GBK" w:cs="方正楷体_GBK"/>
          <w:szCs w:val="32"/>
          <w:lang w:val="zh-TW"/>
        </w:rPr>
        <w:t>发展</w:t>
      </w:r>
      <w:r>
        <w:rPr>
          <w:rFonts w:ascii="方正楷体_GBK" w:eastAsia="方正楷体_GBK" w:hAnsi="方正楷体_GBK" w:cs="方正楷体_GBK" w:hint="eastAsia"/>
          <w:szCs w:val="32"/>
          <w:lang w:val="zh-TW"/>
        </w:rPr>
        <w:t>。</w:t>
      </w:r>
      <w:r>
        <w:rPr>
          <w:rFonts w:cs="楷体_GB2312" w:hint="eastAsia"/>
          <w:bCs/>
          <w:szCs w:val="32"/>
        </w:rPr>
        <w:t>应用云计算、大数据与物联网等数字科技，建设智慧会展场馆，推进会展业智慧管理与服务，培育和发展数字会展项目，推进成都会展业创新发展。</w:t>
      </w:r>
    </w:p>
    <w:p w14:paraId="3305F5E3" w14:textId="77777777" w:rsidR="001F2B4F" w:rsidRDefault="00000000">
      <w:pPr>
        <w:overflowPunct w:val="0"/>
        <w:adjustRightInd w:val="0"/>
        <w:snapToGrid w:val="0"/>
        <w:spacing w:line="579" w:lineRule="exact"/>
        <w:ind w:firstLineChars="200" w:firstLine="632"/>
        <w:rPr>
          <w:rFonts w:cs="楷体_GB2312"/>
          <w:bCs/>
          <w:szCs w:val="32"/>
        </w:rPr>
      </w:pPr>
      <w:r>
        <w:rPr>
          <w:rFonts w:ascii="方正楷体_GBK" w:eastAsia="方正楷体_GBK" w:hAnsi="方正楷体_GBK" w:cs="方正楷体_GBK" w:hint="eastAsia"/>
          <w:szCs w:val="32"/>
          <w:lang w:val="zh-TW"/>
        </w:rPr>
        <w:t>低碳环保、可持续发展。</w:t>
      </w:r>
      <w:r>
        <w:rPr>
          <w:rFonts w:cs="楷体_GB2312" w:hint="eastAsia"/>
          <w:bCs/>
          <w:szCs w:val="32"/>
        </w:rPr>
        <w:t>创新发展绿色会展，注重资源整合与循环利用，打造生态化、集约型的绿色会展新经济体系，促进成都会展业可持续发展。</w:t>
      </w:r>
    </w:p>
    <w:p w14:paraId="06B6C8C1"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49" w:name="_Toc93092572"/>
      <w:bookmarkStart w:id="50" w:name="_Toc96622376"/>
      <w:r>
        <w:rPr>
          <w:rFonts w:ascii="方正黑体_GBK" w:eastAsia="方正黑体_GBK" w:cs="宋体" w:hint="eastAsia"/>
          <w:bCs/>
          <w:kern w:val="0"/>
          <w:szCs w:val="32"/>
          <w:lang w:val="zh-CN" w:bidi="zh-CN"/>
        </w:rPr>
        <w:t>第三节  发展目标</w:t>
      </w:r>
      <w:bookmarkEnd w:id="49"/>
      <w:bookmarkEnd w:id="50"/>
    </w:p>
    <w:p w14:paraId="2D404BF0" w14:textId="77777777" w:rsidR="001F2B4F" w:rsidRDefault="00000000">
      <w:pPr>
        <w:overflowPunct w:val="0"/>
        <w:adjustRightInd w:val="0"/>
        <w:snapToGrid w:val="0"/>
        <w:spacing w:line="579" w:lineRule="exact"/>
        <w:ind w:firstLineChars="200" w:firstLine="632"/>
        <w:rPr>
          <w:rFonts w:cs="楷体_GB2312"/>
          <w:bCs/>
          <w:szCs w:val="32"/>
        </w:rPr>
      </w:pPr>
      <w:r>
        <w:rPr>
          <w:rFonts w:ascii="方正楷体_GBK" w:eastAsia="方正楷体_GBK" w:hAnsi="方正楷体_GBK" w:cs="方正楷体_GBK" w:hint="eastAsia"/>
          <w:szCs w:val="32"/>
          <w:lang w:val="zh-TW"/>
        </w:rPr>
        <w:t>“十四五”时期发展目标。</w:t>
      </w:r>
      <w:r>
        <w:rPr>
          <w:rFonts w:cs="楷体_GB2312" w:hint="eastAsia"/>
          <w:bCs/>
          <w:szCs w:val="32"/>
        </w:rPr>
        <w:t>到</w:t>
      </w:r>
      <w:r>
        <w:rPr>
          <w:rFonts w:cs="楷体_GB2312" w:hint="eastAsia"/>
          <w:bCs/>
          <w:szCs w:val="32"/>
        </w:rPr>
        <w:t>2025</w:t>
      </w:r>
      <w:r>
        <w:rPr>
          <w:rFonts w:cs="楷体_GB2312" w:hint="eastAsia"/>
          <w:bCs/>
          <w:szCs w:val="32"/>
        </w:rPr>
        <w:t>年，立足会展业高质量发展，形成优质高效、结构优化、竞争力强的现代会展产业</w:t>
      </w:r>
      <w:bookmarkStart w:id="51" w:name="_Hlk96682242"/>
      <w:r>
        <w:rPr>
          <w:rFonts w:cs="楷体_GB2312" w:hint="eastAsia"/>
          <w:bCs/>
          <w:szCs w:val="32"/>
        </w:rPr>
        <w:t>体系</w:t>
      </w:r>
      <w:bookmarkEnd w:id="51"/>
      <w:r>
        <w:rPr>
          <w:rFonts w:cs="楷体_GB2312" w:hint="eastAsia"/>
          <w:bCs/>
          <w:szCs w:val="32"/>
        </w:rPr>
        <w:t>，将成都建设成为</w:t>
      </w:r>
      <w:bookmarkStart w:id="52" w:name="_Hlk92876495"/>
      <w:r>
        <w:rPr>
          <w:rFonts w:cs="楷体_GB2312" w:hint="eastAsia"/>
          <w:bCs/>
          <w:szCs w:val="32"/>
        </w:rPr>
        <w:t>具有全球影响力的国际会展之都</w:t>
      </w:r>
      <w:bookmarkEnd w:id="52"/>
      <w:r>
        <w:rPr>
          <w:rFonts w:cs="楷体_GB2312" w:hint="eastAsia"/>
          <w:bCs/>
          <w:szCs w:val="32"/>
        </w:rPr>
        <w:t>，助力</w:t>
      </w:r>
      <w:r>
        <w:rPr>
          <w:rFonts w:cs="楷体_GB2312"/>
          <w:bCs/>
          <w:szCs w:val="32"/>
        </w:rPr>
        <w:t>打造带动全国</w:t>
      </w:r>
      <w:r>
        <w:rPr>
          <w:rFonts w:cs="楷体_GB2312" w:hint="eastAsia"/>
          <w:bCs/>
          <w:szCs w:val="32"/>
        </w:rPr>
        <w:t>会展业</w:t>
      </w:r>
      <w:r>
        <w:rPr>
          <w:rFonts w:cs="楷体_GB2312"/>
          <w:bCs/>
          <w:szCs w:val="32"/>
        </w:rPr>
        <w:t>高质量发展的重要增长</w:t>
      </w:r>
      <w:proofErr w:type="gramStart"/>
      <w:r>
        <w:rPr>
          <w:rFonts w:cs="楷体_GB2312"/>
          <w:bCs/>
          <w:szCs w:val="32"/>
        </w:rPr>
        <w:t>极</w:t>
      </w:r>
      <w:proofErr w:type="gramEnd"/>
      <w:r>
        <w:rPr>
          <w:rFonts w:cs="楷体_GB2312"/>
          <w:bCs/>
          <w:szCs w:val="32"/>
        </w:rPr>
        <w:t>和新的动力源</w:t>
      </w:r>
      <w:r>
        <w:rPr>
          <w:rFonts w:cs="楷体_GB2312" w:hint="eastAsia"/>
          <w:bCs/>
          <w:szCs w:val="32"/>
        </w:rPr>
        <w:t>。</w:t>
      </w:r>
    </w:p>
    <w:p w14:paraId="16ADF607" w14:textId="77777777" w:rsidR="001F2B4F" w:rsidRDefault="00000000">
      <w:pPr>
        <w:overflowPunct w:val="0"/>
        <w:adjustRightInd w:val="0"/>
        <w:snapToGrid w:val="0"/>
        <w:spacing w:line="579" w:lineRule="exact"/>
        <w:ind w:firstLineChars="200" w:firstLine="632"/>
        <w:rPr>
          <w:rFonts w:cs="楷体_GB2312"/>
          <w:bCs/>
          <w:szCs w:val="32"/>
        </w:rPr>
      </w:pPr>
      <w:bookmarkStart w:id="53" w:name="_Toc65700526"/>
      <w:r>
        <w:rPr>
          <w:rFonts w:ascii="方正楷体_GBK" w:eastAsia="方正楷体_GBK" w:hAnsi="方正楷体_GBK" w:cs="方正楷体_GBK" w:hint="eastAsia"/>
          <w:szCs w:val="32"/>
          <w:lang w:val="zh-TW"/>
        </w:rPr>
        <w:t>——会展规模效益稳步增长</w:t>
      </w:r>
      <w:r>
        <w:rPr>
          <w:rFonts w:ascii="方正楷体_GBK" w:eastAsia="方正楷体_GBK" w:hAnsi="方正楷体_GBK" w:cs="方正楷体_GBK"/>
          <w:szCs w:val="32"/>
          <w:lang w:val="zh-TW"/>
        </w:rPr>
        <w:t>。</w:t>
      </w:r>
      <w:bookmarkStart w:id="54" w:name="_Hlk97714419"/>
      <w:r>
        <w:rPr>
          <w:rFonts w:cs="楷体_GB2312" w:hint="eastAsia"/>
          <w:bCs/>
          <w:szCs w:val="32"/>
        </w:rPr>
        <w:t>会展经济量质齐升，消费引领和贸易促进功能凸显，综合带动效应进一步增强，数字会展和绿色会展持续推进，会展总收入、会展活动数量、展出总面积等主</w:t>
      </w:r>
      <w:r>
        <w:rPr>
          <w:rFonts w:cs="楷体_GB2312" w:hint="eastAsia"/>
          <w:bCs/>
          <w:szCs w:val="32"/>
        </w:rPr>
        <w:lastRenderedPageBreak/>
        <w:t>要指标实现持续增长。</w:t>
      </w:r>
      <w:r>
        <w:rPr>
          <w:rFonts w:cs="Times New Roman" w:hint="eastAsia"/>
          <w:bCs/>
          <w:szCs w:val="32"/>
        </w:rPr>
        <w:t>到</w:t>
      </w:r>
      <w:r>
        <w:rPr>
          <w:rFonts w:cs="Times New Roman" w:hint="eastAsia"/>
          <w:bCs/>
          <w:szCs w:val="32"/>
        </w:rPr>
        <w:t>2025</w:t>
      </w:r>
      <w:r>
        <w:rPr>
          <w:rFonts w:cs="Times New Roman" w:hint="eastAsia"/>
          <w:bCs/>
          <w:szCs w:val="32"/>
        </w:rPr>
        <w:t>年，全市会展业总收入超过</w:t>
      </w:r>
      <w:r>
        <w:rPr>
          <w:rFonts w:cs="Times New Roman"/>
          <w:bCs/>
          <w:szCs w:val="32"/>
        </w:rPr>
        <w:t>16</w:t>
      </w:r>
      <w:r>
        <w:rPr>
          <w:rFonts w:cs="Times New Roman" w:hint="eastAsia"/>
          <w:bCs/>
          <w:szCs w:val="32"/>
        </w:rPr>
        <w:t>00</w:t>
      </w:r>
      <w:r>
        <w:rPr>
          <w:rFonts w:cs="Times New Roman" w:hint="eastAsia"/>
          <w:bCs/>
          <w:szCs w:val="32"/>
        </w:rPr>
        <w:t>亿元，举办重大会展活动数量超过</w:t>
      </w:r>
      <w:r>
        <w:rPr>
          <w:rFonts w:cs="Times New Roman"/>
          <w:bCs/>
          <w:szCs w:val="32"/>
        </w:rPr>
        <w:t>1200</w:t>
      </w:r>
      <w:r>
        <w:rPr>
          <w:rFonts w:cs="Times New Roman" w:hint="eastAsia"/>
          <w:bCs/>
          <w:szCs w:val="32"/>
        </w:rPr>
        <w:t>个，展出总面积超过</w:t>
      </w:r>
      <w:r>
        <w:rPr>
          <w:rFonts w:cs="Times New Roman"/>
          <w:bCs/>
          <w:szCs w:val="32"/>
        </w:rPr>
        <w:t>1450</w:t>
      </w:r>
      <w:r>
        <w:rPr>
          <w:rFonts w:cs="Times New Roman" w:hint="eastAsia"/>
          <w:bCs/>
          <w:szCs w:val="32"/>
        </w:rPr>
        <w:t>万平方米</w:t>
      </w:r>
      <w:r>
        <w:rPr>
          <w:rFonts w:cs="Times New Roman"/>
          <w:szCs w:val="32"/>
        </w:rPr>
        <w:t>。</w:t>
      </w:r>
      <w:bookmarkEnd w:id="54"/>
    </w:p>
    <w:p w14:paraId="2AC43B18" w14:textId="77777777" w:rsidR="001F2B4F" w:rsidRDefault="00000000">
      <w:pPr>
        <w:overflowPunct w:val="0"/>
        <w:adjustRightInd w:val="0"/>
        <w:snapToGrid w:val="0"/>
        <w:spacing w:line="579" w:lineRule="exact"/>
        <w:ind w:firstLineChars="200" w:firstLine="632"/>
        <w:rPr>
          <w:rFonts w:cs="Times New Roman"/>
          <w:bCs/>
          <w:szCs w:val="32"/>
        </w:rPr>
      </w:pPr>
      <w:r>
        <w:rPr>
          <w:rFonts w:ascii="方正楷体_GBK" w:eastAsia="方正楷体_GBK" w:hAnsi="方正楷体_GBK" w:cs="方正楷体_GBK" w:hint="eastAsia"/>
          <w:szCs w:val="32"/>
          <w:lang w:val="zh-TW"/>
        </w:rPr>
        <w:t>——国际化水平进一步提升。</w:t>
      </w:r>
      <w:r>
        <w:rPr>
          <w:rFonts w:cs="Times New Roman" w:hint="eastAsia"/>
          <w:szCs w:val="32"/>
        </w:rPr>
        <w:t>国际会展活动数量大幅增长，</w:t>
      </w:r>
      <w:r>
        <w:rPr>
          <w:rFonts w:cs="Times New Roman" w:hint="eastAsia"/>
          <w:bCs/>
          <w:szCs w:val="32"/>
        </w:rPr>
        <w:t>国际参展比例进一步提高，国际权威认证项目持续增加，会展品牌建设迈上新台阶。</w:t>
      </w:r>
      <w:r>
        <w:rPr>
          <w:rFonts w:cs="Times New Roman"/>
          <w:bCs/>
          <w:szCs w:val="32"/>
        </w:rPr>
        <w:t>到</w:t>
      </w:r>
      <w:r>
        <w:rPr>
          <w:rFonts w:cs="Times New Roman"/>
          <w:bCs/>
          <w:szCs w:val="32"/>
        </w:rPr>
        <w:t>2025</w:t>
      </w:r>
      <w:r>
        <w:rPr>
          <w:rFonts w:cs="Times New Roman"/>
          <w:bCs/>
          <w:szCs w:val="32"/>
        </w:rPr>
        <w:t>年，举办</w:t>
      </w:r>
      <w:r>
        <w:rPr>
          <w:rFonts w:cs="Times New Roman" w:hint="eastAsia"/>
          <w:bCs/>
          <w:szCs w:val="32"/>
        </w:rPr>
        <w:t>UFI</w:t>
      </w:r>
      <w:r>
        <w:rPr>
          <w:rFonts w:cs="Times New Roman" w:hint="eastAsia"/>
          <w:bCs/>
          <w:szCs w:val="32"/>
        </w:rPr>
        <w:t>（国际展览业协会）认证展会项目超过</w:t>
      </w:r>
      <w:r>
        <w:rPr>
          <w:rFonts w:cs="Times New Roman" w:hint="eastAsia"/>
          <w:bCs/>
          <w:szCs w:val="32"/>
        </w:rPr>
        <w:t>20</w:t>
      </w:r>
      <w:r>
        <w:rPr>
          <w:rFonts w:cs="Times New Roman" w:hint="eastAsia"/>
          <w:bCs/>
          <w:szCs w:val="32"/>
        </w:rPr>
        <w:t>个，举办符合</w:t>
      </w:r>
      <w:r>
        <w:rPr>
          <w:rFonts w:cs="Times New Roman" w:hint="eastAsia"/>
          <w:bCs/>
          <w:szCs w:val="32"/>
        </w:rPr>
        <w:t>ICCA</w:t>
      </w:r>
      <w:r>
        <w:rPr>
          <w:rFonts w:cs="Times New Roman" w:hint="eastAsia"/>
          <w:bCs/>
          <w:szCs w:val="32"/>
        </w:rPr>
        <w:t>（国际大会及会议协会）标准的会议项目超过</w:t>
      </w:r>
      <w:r>
        <w:rPr>
          <w:rFonts w:cs="Times New Roman" w:hint="eastAsia"/>
          <w:bCs/>
          <w:szCs w:val="32"/>
        </w:rPr>
        <w:t>40</w:t>
      </w:r>
      <w:r>
        <w:rPr>
          <w:rFonts w:cs="Times New Roman" w:hint="eastAsia"/>
          <w:bCs/>
          <w:szCs w:val="32"/>
        </w:rPr>
        <w:t>个</w:t>
      </w:r>
      <w:r>
        <w:rPr>
          <w:rFonts w:cs="Times New Roman"/>
          <w:bCs/>
          <w:szCs w:val="32"/>
        </w:rPr>
        <w:t>。</w:t>
      </w:r>
    </w:p>
    <w:p w14:paraId="451BC54F" w14:textId="77777777" w:rsidR="001F2B4F" w:rsidRDefault="00000000">
      <w:pPr>
        <w:overflowPunct w:val="0"/>
        <w:adjustRightInd w:val="0"/>
        <w:snapToGrid w:val="0"/>
        <w:spacing w:line="579" w:lineRule="exact"/>
        <w:ind w:firstLineChars="200" w:firstLine="632"/>
        <w:rPr>
          <w:rFonts w:cs="Times New Roman"/>
          <w:szCs w:val="32"/>
        </w:rPr>
      </w:pPr>
      <w:r>
        <w:rPr>
          <w:rFonts w:ascii="方正楷体_GBK" w:eastAsia="方正楷体_GBK" w:hAnsi="方正楷体_GBK" w:cs="方正楷体_GBK" w:hint="eastAsia"/>
          <w:szCs w:val="32"/>
          <w:lang w:val="zh-TW"/>
        </w:rPr>
        <w:t>——会展市场主体活力迸发</w:t>
      </w:r>
      <w:r>
        <w:rPr>
          <w:rFonts w:ascii="方正楷体_GBK" w:eastAsia="方正楷体_GBK" w:hAnsi="方正楷体_GBK" w:cs="方正楷体_GBK"/>
          <w:szCs w:val="32"/>
          <w:lang w:val="zh-TW"/>
        </w:rPr>
        <w:t>。</w:t>
      </w:r>
      <w:r>
        <w:rPr>
          <w:rFonts w:cs="Times New Roman" w:hint="eastAsia"/>
          <w:szCs w:val="32"/>
        </w:rPr>
        <w:t>汇聚</w:t>
      </w:r>
      <w:r>
        <w:rPr>
          <w:rFonts w:cs="Times New Roman"/>
          <w:szCs w:val="32"/>
        </w:rPr>
        <w:t>一批</w:t>
      </w:r>
      <w:r>
        <w:rPr>
          <w:rFonts w:cs="Times New Roman" w:hint="eastAsia"/>
          <w:szCs w:val="32"/>
        </w:rPr>
        <w:t>牵引能力强</w:t>
      </w:r>
      <w:r>
        <w:rPr>
          <w:rFonts w:cs="Times New Roman"/>
          <w:szCs w:val="32"/>
        </w:rPr>
        <w:t>、</w:t>
      </w:r>
      <w:r>
        <w:rPr>
          <w:rFonts w:cs="Times New Roman" w:hint="eastAsia"/>
          <w:szCs w:val="32"/>
        </w:rPr>
        <w:t>带动效应好</w:t>
      </w:r>
      <w:r>
        <w:rPr>
          <w:rFonts w:cs="Times New Roman"/>
          <w:szCs w:val="32"/>
        </w:rPr>
        <w:t>的</w:t>
      </w:r>
      <w:proofErr w:type="gramStart"/>
      <w:r>
        <w:rPr>
          <w:rFonts w:cs="Times New Roman"/>
          <w:szCs w:val="32"/>
        </w:rPr>
        <w:t>会展</w:t>
      </w:r>
      <w:r>
        <w:rPr>
          <w:rFonts w:cs="Times New Roman" w:hint="eastAsia"/>
          <w:szCs w:val="32"/>
        </w:rPr>
        <w:t>链主</w:t>
      </w:r>
      <w:r>
        <w:rPr>
          <w:rFonts w:cs="Times New Roman"/>
          <w:szCs w:val="32"/>
        </w:rPr>
        <w:t>企业</w:t>
      </w:r>
      <w:proofErr w:type="gramEnd"/>
      <w:r>
        <w:rPr>
          <w:rFonts w:cs="Times New Roman"/>
          <w:szCs w:val="32"/>
        </w:rPr>
        <w:t>和</w:t>
      </w:r>
      <w:r>
        <w:rPr>
          <w:rFonts w:cs="Times New Roman" w:hint="eastAsia"/>
          <w:szCs w:val="32"/>
        </w:rPr>
        <w:t>组织</w:t>
      </w:r>
      <w:r>
        <w:rPr>
          <w:rFonts w:cs="Times New Roman"/>
          <w:szCs w:val="32"/>
        </w:rPr>
        <w:t>机构</w:t>
      </w:r>
      <w:r>
        <w:rPr>
          <w:rFonts w:cs="Times New Roman" w:hint="eastAsia"/>
          <w:szCs w:val="32"/>
        </w:rPr>
        <w:t>，本土会展企业集团不断做大做</w:t>
      </w:r>
      <w:proofErr w:type="gramStart"/>
      <w:r>
        <w:rPr>
          <w:rFonts w:cs="Times New Roman" w:hint="eastAsia"/>
          <w:szCs w:val="32"/>
        </w:rPr>
        <w:t>强做</w:t>
      </w:r>
      <w:proofErr w:type="gramEnd"/>
      <w:r>
        <w:rPr>
          <w:rFonts w:cs="Times New Roman" w:hint="eastAsia"/>
          <w:szCs w:val="32"/>
        </w:rPr>
        <w:t>优</w:t>
      </w:r>
      <w:r>
        <w:rPr>
          <w:rFonts w:cs="Times New Roman"/>
          <w:szCs w:val="32"/>
        </w:rPr>
        <w:t>，</w:t>
      </w:r>
      <w:r>
        <w:rPr>
          <w:rFonts w:cs="Times New Roman" w:hint="eastAsia"/>
          <w:szCs w:val="32"/>
        </w:rPr>
        <w:t>培育一批主业突出、市场竞争力强的“专精特新”企业</w:t>
      </w:r>
      <w:r>
        <w:rPr>
          <w:rFonts w:cs="Times New Roman"/>
          <w:szCs w:val="32"/>
        </w:rPr>
        <w:t>。到</w:t>
      </w:r>
      <w:r>
        <w:rPr>
          <w:rFonts w:cs="Times New Roman"/>
          <w:szCs w:val="32"/>
        </w:rPr>
        <w:t>2025</w:t>
      </w:r>
      <w:r>
        <w:rPr>
          <w:rFonts w:cs="Times New Roman"/>
          <w:szCs w:val="32"/>
        </w:rPr>
        <w:t>年</w:t>
      </w:r>
      <w:r>
        <w:rPr>
          <w:rFonts w:cs="Times New Roman" w:hint="eastAsia"/>
          <w:szCs w:val="32"/>
        </w:rPr>
        <w:t>，</w:t>
      </w:r>
      <w:r>
        <w:rPr>
          <w:rFonts w:cs="Times New Roman"/>
          <w:szCs w:val="32"/>
        </w:rPr>
        <w:t>会展企业数量</w:t>
      </w:r>
      <w:r>
        <w:rPr>
          <w:rFonts w:cs="Times New Roman" w:hint="eastAsia"/>
          <w:bCs/>
          <w:szCs w:val="32"/>
        </w:rPr>
        <w:t>超过</w:t>
      </w:r>
      <w:r>
        <w:rPr>
          <w:rFonts w:cs="Times New Roman"/>
          <w:szCs w:val="32"/>
        </w:rPr>
        <w:t>800</w:t>
      </w:r>
      <w:r>
        <w:rPr>
          <w:rFonts w:cs="Times New Roman" w:hint="eastAsia"/>
          <w:szCs w:val="32"/>
        </w:rPr>
        <w:t>家，</w:t>
      </w:r>
      <w:r>
        <w:rPr>
          <w:rFonts w:cs="Times New Roman"/>
          <w:szCs w:val="32"/>
        </w:rPr>
        <w:t>年营业收入过亿本土会展企业</w:t>
      </w:r>
      <w:r>
        <w:rPr>
          <w:rFonts w:cs="Times New Roman" w:hint="eastAsia"/>
          <w:bCs/>
          <w:szCs w:val="32"/>
        </w:rPr>
        <w:t>超过</w:t>
      </w:r>
      <w:r>
        <w:rPr>
          <w:rFonts w:cs="Times New Roman"/>
          <w:szCs w:val="32"/>
        </w:rPr>
        <w:t>8</w:t>
      </w:r>
      <w:r>
        <w:rPr>
          <w:rFonts w:cs="Times New Roman" w:hint="eastAsia"/>
          <w:szCs w:val="32"/>
        </w:rPr>
        <w:t>家</w:t>
      </w:r>
      <w:r>
        <w:rPr>
          <w:rFonts w:cs="Times New Roman"/>
          <w:szCs w:val="32"/>
        </w:rPr>
        <w:t>，知名会展企业落户或设立分支机构</w:t>
      </w:r>
      <w:r>
        <w:rPr>
          <w:rFonts w:cs="Times New Roman" w:hint="eastAsia"/>
          <w:bCs/>
          <w:szCs w:val="32"/>
        </w:rPr>
        <w:t>超过</w:t>
      </w:r>
      <w:r>
        <w:rPr>
          <w:rFonts w:cs="Times New Roman"/>
          <w:szCs w:val="32"/>
        </w:rPr>
        <w:t>15</w:t>
      </w:r>
      <w:r>
        <w:rPr>
          <w:rFonts w:cs="Times New Roman" w:hint="eastAsia"/>
          <w:szCs w:val="32"/>
        </w:rPr>
        <w:t>家</w:t>
      </w:r>
      <w:r>
        <w:rPr>
          <w:rFonts w:cs="Times New Roman"/>
          <w:szCs w:val="32"/>
        </w:rPr>
        <w:t>。</w:t>
      </w:r>
    </w:p>
    <w:p w14:paraId="556D4D60" w14:textId="77777777" w:rsidR="001F2B4F" w:rsidRDefault="00000000">
      <w:pPr>
        <w:overflowPunct w:val="0"/>
        <w:adjustRightInd w:val="0"/>
        <w:snapToGrid w:val="0"/>
        <w:spacing w:line="579" w:lineRule="exact"/>
        <w:ind w:firstLineChars="200" w:firstLine="632"/>
        <w:rPr>
          <w:rFonts w:cs="Times New Roman"/>
          <w:bCs/>
          <w:szCs w:val="32"/>
        </w:rPr>
      </w:pPr>
      <w:r>
        <w:rPr>
          <w:rFonts w:ascii="方正楷体_GBK" w:eastAsia="方正楷体_GBK" w:hAnsi="方正楷体_GBK" w:cs="方正楷体_GBK" w:hint="eastAsia"/>
          <w:szCs w:val="32"/>
          <w:lang w:val="zh-TW"/>
        </w:rPr>
        <w:t>——会展人才建设成效显著</w:t>
      </w:r>
      <w:r>
        <w:rPr>
          <w:rFonts w:ascii="方正楷体_GBK" w:eastAsia="方正楷体_GBK" w:hAnsi="方正楷体_GBK" w:cs="方正楷体_GBK"/>
          <w:szCs w:val="32"/>
          <w:lang w:val="zh-TW"/>
        </w:rPr>
        <w:t>。</w:t>
      </w:r>
      <w:r>
        <w:rPr>
          <w:rFonts w:cs="Times New Roman" w:hint="eastAsia"/>
          <w:szCs w:val="32"/>
        </w:rPr>
        <w:t>人才引进和培养体系不断完善，</w:t>
      </w:r>
      <w:r>
        <w:rPr>
          <w:rFonts w:cs="Times New Roman" w:hint="eastAsia"/>
          <w:bCs/>
          <w:szCs w:val="32"/>
        </w:rPr>
        <w:t>专业人才队伍建设有效推进，形成结构合理、层次分明的会展人才体系。</w:t>
      </w:r>
      <w:r>
        <w:rPr>
          <w:rFonts w:cs="Times New Roman"/>
          <w:bCs/>
          <w:szCs w:val="32"/>
        </w:rPr>
        <w:t>到</w:t>
      </w:r>
      <w:r>
        <w:rPr>
          <w:rFonts w:cs="Times New Roman"/>
          <w:bCs/>
          <w:szCs w:val="32"/>
        </w:rPr>
        <w:t>2025</w:t>
      </w:r>
      <w:r>
        <w:rPr>
          <w:rFonts w:cs="Times New Roman"/>
          <w:bCs/>
          <w:szCs w:val="32"/>
        </w:rPr>
        <w:t>年，会展职业经理人（高级）认证数量</w:t>
      </w:r>
      <w:r>
        <w:rPr>
          <w:rFonts w:cs="Times New Roman" w:hint="eastAsia"/>
          <w:bCs/>
          <w:szCs w:val="32"/>
        </w:rPr>
        <w:t>超过</w:t>
      </w:r>
      <w:r>
        <w:rPr>
          <w:rFonts w:cs="Times New Roman"/>
          <w:bCs/>
          <w:szCs w:val="32"/>
        </w:rPr>
        <w:t>350</w:t>
      </w:r>
      <w:r>
        <w:rPr>
          <w:rFonts w:cs="Times New Roman"/>
          <w:bCs/>
          <w:szCs w:val="32"/>
        </w:rPr>
        <w:t>人，</w:t>
      </w:r>
      <w:r>
        <w:rPr>
          <w:rFonts w:cs="Times New Roman" w:hint="eastAsia"/>
          <w:bCs/>
          <w:szCs w:val="32"/>
        </w:rPr>
        <w:t>引进国际会展专业人才数量超过</w:t>
      </w:r>
      <w:r>
        <w:rPr>
          <w:rFonts w:cs="Times New Roman" w:hint="eastAsia"/>
          <w:bCs/>
          <w:szCs w:val="32"/>
        </w:rPr>
        <w:t>500</w:t>
      </w:r>
      <w:r>
        <w:rPr>
          <w:rFonts w:cs="Times New Roman" w:hint="eastAsia"/>
          <w:bCs/>
          <w:szCs w:val="32"/>
        </w:rPr>
        <w:t>人</w:t>
      </w:r>
      <w:r>
        <w:rPr>
          <w:rFonts w:cs="Times New Roman"/>
          <w:bCs/>
          <w:szCs w:val="32"/>
        </w:rPr>
        <w:t>。</w:t>
      </w:r>
    </w:p>
    <w:p w14:paraId="5D3E485F" w14:textId="77777777" w:rsidR="001F2B4F" w:rsidRDefault="00000000">
      <w:pPr>
        <w:overflowPunct w:val="0"/>
        <w:adjustRightInd w:val="0"/>
        <w:snapToGrid w:val="0"/>
        <w:spacing w:line="579" w:lineRule="exact"/>
        <w:ind w:firstLineChars="200" w:firstLine="632"/>
        <w:rPr>
          <w:rFonts w:cs="Times New Roman"/>
          <w:bCs/>
          <w:szCs w:val="32"/>
        </w:rPr>
      </w:pPr>
      <w:r>
        <w:rPr>
          <w:rFonts w:ascii="方正楷体_GBK" w:eastAsia="方正楷体_GBK" w:hAnsi="方正楷体_GBK" w:cs="方正楷体_GBK" w:hint="eastAsia"/>
          <w:szCs w:val="32"/>
          <w:lang w:val="zh-TW"/>
        </w:rPr>
        <w:t>——</w:t>
      </w:r>
      <w:r>
        <w:rPr>
          <w:rFonts w:ascii="方正楷体_GBK" w:eastAsia="方正楷体_GBK" w:hAnsi="方正楷体_GBK" w:cs="方正楷体_GBK"/>
          <w:szCs w:val="32"/>
          <w:lang w:val="zh-TW"/>
        </w:rPr>
        <w:t>会展</w:t>
      </w:r>
      <w:r>
        <w:rPr>
          <w:rFonts w:ascii="方正楷体_GBK" w:eastAsia="方正楷体_GBK" w:hAnsi="方正楷体_GBK" w:cs="方正楷体_GBK" w:hint="eastAsia"/>
          <w:szCs w:val="32"/>
          <w:lang w:val="zh-TW"/>
        </w:rPr>
        <w:t>载体设施逐步完善。</w:t>
      </w:r>
      <w:bookmarkStart w:id="55" w:name="_Hlk97714432"/>
      <w:bookmarkStart w:id="56" w:name="_Hlk85294466"/>
      <w:r>
        <w:rPr>
          <w:rFonts w:cs="Times New Roman" w:hint="eastAsia"/>
          <w:bCs/>
          <w:szCs w:val="32"/>
        </w:rPr>
        <w:t>会展载体</w:t>
      </w:r>
      <w:r>
        <w:rPr>
          <w:rFonts w:cs="楷体_GB2312" w:hint="eastAsia"/>
          <w:bCs/>
          <w:szCs w:val="32"/>
        </w:rPr>
        <w:t>布局</w:t>
      </w:r>
      <w:r>
        <w:rPr>
          <w:rFonts w:cs="Times New Roman" w:hint="eastAsia"/>
          <w:bCs/>
          <w:szCs w:val="32"/>
        </w:rPr>
        <w:t>不断优化，专业配套设施逐步完善，会展服务水平持续提升。</w:t>
      </w:r>
      <w:bookmarkEnd w:id="55"/>
      <w:r>
        <w:rPr>
          <w:rFonts w:cs="Times New Roman"/>
          <w:bCs/>
          <w:szCs w:val="32"/>
        </w:rPr>
        <w:t>到</w:t>
      </w:r>
      <w:r>
        <w:rPr>
          <w:rFonts w:cs="Times New Roman"/>
          <w:bCs/>
          <w:szCs w:val="32"/>
        </w:rPr>
        <w:t>2025</w:t>
      </w:r>
      <w:r>
        <w:rPr>
          <w:rFonts w:cs="Times New Roman"/>
          <w:bCs/>
          <w:szCs w:val="32"/>
        </w:rPr>
        <w:t>年，</w:t>
      </w:r>
      <w:r>
        <w:rPr>
          <w:rFonts w:cs="Times New Roman" w:hint="eastAsia"/>
          <w:bCs/>
          <w:szCs w:val="32"/>
        </w:rPr>
        <w:t>会展专业场馆可供展出面积超过</w:t>
      </w:r>
      <w:r>
        <w:rPr>
          <w:rFonts w:cs="Times New Roman" w:hint="eastAsia"/>
          <w:bCs/>
          <w:szCs w:val="32"/>
        </w:rPr>
        <w:t>9</w:t>
      </w:r>
      <w:r>
        <w:rPr>
          <w:rFonts w:cs="Times New Roman"/>
          <w:bCs/>
          <w:szCs w:val="32"/>
        </w:rPr>
        <w:t>0</w:t>
      </w:r>
      <w:r>
        <w:rPr>
          <w:rFonts w:cs="Times New Roman" w:hint="eastAsia"/>
          <w:bCs/>
          <w:szCs w:val="32"/>
        </w:rPr>
        <w:t>万平方米，会议型酒店房间数量超过</w:t>
      </w:r>
      <w:r>
        <w:rPr>
          <w:rFonts w:cs="Times New Roman" w:hint="eastAsia"/>
          <w:bCs/>
          <w:szCs w:val="32"/>
        </w:rPr>
        <w:t>15</w:t>
      </w:r>
      <w:r>
        <w:rPr>
          <w:rFonts w:cs="Times New Roman" w:hint="eastAsia"/>
          <w:bCs/>
          <w:szCs w:val="32"/>
        </w:rPr>
        <w:t>万间。</w:t>
      </w:r>
    </w:p>
    <w:p w14:paraId="396B3EF3" w14:textId="77777777" w:rsidR="001F2B4F" w:rsidRDefault="001F2B4F">
      <w:pPr>
        <w:pStyle w:val="a0"/>
        <w:overflowPunct w:val="0"/>
        <w:ind w:firstLine="632"/>
      </w:pP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992"/>
        <w:gridCol w:w="850"/>
        <w:gridCol w:w="1182"/>
      </w:tblGrid>
      <w:tr w:rsidR="001F2B4F" w14:paraId="516A42AA" w14:textId="77777777">
        <w:trPr>
          <w:trHeight w:val="577"/>
          <w:tblHeader/>
          <w:jc w:val="center"/>
        </w:trPr>
        <w:tc>
          <w:tcPr>
            <w:tcW w:w="8548" w:type="dxa"/>
            <w:gridSpan w:val="5"/>
            <w:vAlign w:val="center"/>
          </w:tcPr>
          <w:p w14:paraId="625AD355" w14:textId="77777777" w:rsidR="001F2B4F" w:rsidRDefault="00000000">
            <w:pPr>
              <w:overflowPunct w:val="0"/>
              <w:rPr>
                <w:rFonts w:cs="Times New Roman"/>
                <w:sz w:val="28"/>
                <w:szCs w:val="30"/>
              </w:rPr>
            </w:pPr>
            <w:r>
              <w:rPr>
                <w:rFonts w:eastAsia="方正黑体_GBK" w:cs="Times New Roman"/>
                <w:sz w:val="28"/>
                <w:szCs w:val="30"/>
              </w:rPr>
              <w:lastRenderedPageBreak/>
              <w:t>专栏</w:t>
            </w:r>
            <w:r>
              <w:rPr>
                <w:rFonts w:eastAsia="方正黑体_GBK" w:cs="Times New Roman"/>
                <w:sz w:val="28"/>
                <w:szCs w:val="30"/>
              </w:rPr>
              <w:t xml:space="preserve">4  </w:t>
            </w:r>
            <w:r>
              <w:rPr>
                <w:rFonts w:eastAsia="方正黑体_GBK" w:cs="Times New Roman"/>
                <w:sz w:val="28"/>
                <w:szCs w:val="30"/>
              </w:rPr>
              <w:t>成都市</w:t>
            </w:r>
            <w:r>
              <w:rPr>
                <w:rFonts w:eastAsia="方正黑体_GBK" w:cs="Times New Roman"/>
                <w:sz w:val="28"/>
                <w:szCs w:val="30"/>
              </w:rPr>
              <w:t>“</w:t>
            </w:r>
            <w:r>
              <w:rPr>
                <w:rFonts w:eastAsia="方正黑体_GBK" w:cs="Times New Roman"/>
                <w:sz w:val="28"/>
                <w:szCs w:val="30"/>
              </w:rPr>
              <w:t>十四五</w:t>
            </w:r>
            <w:r>
              <w:rPr>
                <w:rFonts w:eastAsia="方正黑体_GBK" w:cs="Times New Roman"/>
                <w:sz w:val="28"/>
                <w:szCs w:val="30"/>
              </w:rPr>
              <w:t>”</w:t>
            </w:r>
            <w:r>
              <w:rPr>
                <w:rFonts w:eastAsia="方正黑体_GBK" w:cs="Times New Roman"/>
                <w:sz w:val="28"/>
                <w:szCs w:val="30"/>
              </w:rPr>
              <w:t>国际会展之都建设发展指标</w:t>
            </w:r>
          </w:p>
        </w:tc>
      </w:tr>
      <w:tr w:rsidR="001F2B4F" w14:paraId="6096699C" w14:textId="77777777">
        <w:trPr>
          <w:trHeight w:val="624"/>
          <w:tblHeader/>
          <w:jc w:val="center"/>
        </w:trPr>
        <w:tc>
          <w:tcPr>
            <w:tcW w:w="988" w:type="dxa"/>
            <w:vAlign w:val="center"/>
          </w:tcPr>
          <w:p w14:paraId="748C44FA" w14:textId="77777777" w:rsidR="001F2B4F" w:rsidRDefault="00000000">
            <w:pPr>
              <w:overflowPunct w:val="0"/>
              <w:adjustRightInd w:val="0"/>
              <w:snapToGrid w:val="0"/>
              <w:jc w:val="center"/>
              <w:rPr>
                <w:rFonts w:cs="Times New Roman"/>
                <w:sz w:val="24"/>
                <w:szCs w:val="32"/>
              </w:rPr>
            </w:pPr>
            <w:bookmarkStart w:id="57" w:name="_Hlk85184471"/>
            <w:r>
              <w:rPr>
                <w:rFonts w:cs="Times New Roman"/>
                <w:sz w:val="24"/>
                <w:szCs w:val="32"/>
              </w:rPr>
              <w:t>类别</w:t>
            </w:r>
          </w:p>
        </w:tc>
        <w:tc>
          <w:tcPr>
            <w:tcW w:w="4536" w:type="dxa"/>
            <w:vAlign w:val="center"/>
          </w:tcPr>
          <w:p w14:paraId="443F2720" w14:textId="77777777" w:rsidR="001F2B4F" w:rsidRDefault="00000000">
            <w:pPr>
              <w:overflowPunct w:val="0"/>
              <w:adjustRightInd w:val="0"/>
              <w:snapToGrid w:val="0"/>
              <w:jc w:val="center"/>
              <w:rPr>
                <w:rFonts w:cs="Times New Roman"/>
                <w:sz w:val="24"/>
                <w:szCs w:val="32"/>
              </w:rPr>
            </w:pPr>
            <w:r>
              <w:rPr>
                <w:rFonts w:cs="Times New Roman"/>
                <w:sz w:val="24"/>
                <w:szCs w:val="32"/>
              </w:rPr>
              <w:t>指标</w:t>
            </w:r>
          </w:p>
        </w:tc>
        <w:tc>
          <w:tcPr>
            <w:tcW w:w="992" w:type="dxa"/>
            <w:vAlign w:val="center"/>
          </w:tcPr>
          <w:p w14:paraId="45CCDDA7" w14:textId="77777777" w:rsidR="001F2B4F" w:rsidRDefault="00000000">
            <w:pPr>
              <w:overflowPunct w:val="0"/>
              <w:adjustRightInd w:val="0"/>
              <w:snapToGrid w:val="0"/>
              <w:jc w:val="center"/>
              <w:rPr>
                <w:rFonts w:cs="Times New Roman"/>
                <w:sz w:val="24"/>
                <w:szCs w:val="32"/>
              </w:rPr>
            </w:pPr>
            <w:r>
              <w:rPr>
                <w:rFonts w:cs="Times New Roman" w:hint="eastAsia"/>
                <w:sz w:val="24"/>
                <w:szCs w:val="32"/>
              </w:rPr>
              <w:t>2</w:t>
            </w:r>
            <w:r>
              <w:rPr>
                <w:rFonts w:cs="Times New Roman"/>
                <w:sz w:val="24"/>
                <w:szCs w:val="32"/>
              </w:rPr>
              <w:t>020</w:t>
            </w:r>
          </w:p>
        </w:tc>
        <w:tc>
          <w:tcPr>
            <w:tcW w:w="850" w:type="dxa"/>
            <w:vAlign w:val="center"/>
          </w:tcPr>
          <w:p w14:paraId="5F602024" w14:textId="77777777" w:rsidR="001F2B4F" w:rsidRDefault="00000000">
            <w:pPr>
              <w:overflowPunct w:val="0"/>
              <w:adjustRightInd w:val="0"/>
              <w:snapToGrid w:val="0"/>
              <w:jc w:val="center"/>
              <w:rPr>
                <w:rFonts w:cs="Times New Roman"/>
                <w:sz w:val="24"/>
                <w:szCs w:val="32"/>
              </w:rPr>
            </w:pPr>
            <w:r>
              <w:rPr>
                <w:rFonts w:cs="Times New Roman"/>
                <w:sz w:val="24"/>
                <w:szCs w:val="32"/>
              </w:rPr>
              <w:t>2025</w:t>
            </w:r>
          </w:p>
        </w:tc>
        <w:tc>
          <w:tcPr>
            <w:tcW w:w="1182" w:type="dxa"/>
            <w:vAlign w:val="center"/>
          </w:tcPr>
          <w:p w14:paraId="05BDE211" w14:textId="77777777" w:rsidR="001F2B4F" w:rsidRDefault="00000000">
            <w:pPr>
              <w:overflowPunct w:val="0"/>
              <w:adjustRightInd w:val="0"/>
              <w:snapToGrid w:val="0"/>
              <w:jc w:val="center"/>
              <w:rPr>
                <w:rFonts w:cs="Times New Roman"/>
                <w:sz w:val="24"/>
                <w:szCs w:val="32"/>
              </w:rPr>
            </w:pPr>
            <w:r>
              <w:rPr>
                <w:rFonts w:cs="Times New Roman" w:hint="eastAsia"/>
                <w:sz w:val="24"/>
                <w:szCs w:val="32"/>
              </w:rPr>
              <w:t>属性</w:t>
            </w:r>
          </w:p>
        </w:tc>
      </w:tr>
      <w:tr w:rsidR="001F2B4F" w14:paraId="327AF1BA" w14:textId="77777777">
        <w:trPr>
          <w:trHeight w:val="482"/>
          <w:jc w:val="center"/>
        </w:trPr>
        <w:tc>
          <w:tcPr>
            <w:tcW w:w="988" w:type="dxa"/>
            <w:vMerge w:val="restart"/>
            <w:vAlign w:val="center"/>
          </w:tcPr>
          <w:p w14:paraId="055E71CC" w14:textId="77777777" w:rsidR="001F2B4F" w:rsidRDefault="00000000">
            <w:pPr>
              <w:overflowPunct w:val="0"/>
              <w:adjustRightInd w:val="0"/>
              <w:snapToGrid w:val="0"/>
              <w:jc w:val="center"/>
              <w:rPr>
                <w:rFonts w:cs="Times New Roman"/>
                <w:sz w:val="24"/>
                <w:szCs w:val="32"/>
              </w:rPr>
            </w:pPr>
            <w:r>
              <w:rPr>
                <w:rFonts w:cs="Times New Roman"/>
                <w:sz w:val="24"/>
                <w:szCs w:val="32"/>
              </w:rPr>
              <w:t>会展</w:t>
            </w:r>
          </w:p>
          <w:p w14:paraId="134056B6" w14:textId="77777777" w:rsidR="001F2B4F" w:rsidRDefault="00000000">
            <w:pPr>
              <w:overflowPunct w:val="0"/>
              <w:adjustRightInd w:val="0"/>
              <w:snapToGrid w:val="0"/>
              <w:jc w:val="center"/>
              <w:rPr>
                <w:rFonts w:cs="Times New Roman"/>
                <w:sz w:val="24"/>
                <w:szCs w:val="32"/>
              </w:rPr>
            </w:pPr>
            <w:r>
              <w:rPr>
                <w:rFonts w:cs="Times New Roman"/>
                <w:sz w:val="24"/>
                <w:szCs w:val="32"/>
              </w:rPr>
              <w:t>效益</w:t>
            </w:r>
          </w:p>
        </w:tc>
        <w:tc>
          <w:tcPr>
            <w:tcW w:w="4536" w:type="dxa"/>
            <w:vAlign w:val="center"/>
          </w:tcPr>
          <w:p w14:paraId="264B2F0E" w14:textId="77777777" w:rsidR="001F2B4F" w:rsidRDefault="00000000">
            <w:pPr>
              <w:overflowPunct w:val="0"/>
              <w:adjustRightInd w:val="0"/>
              <w:snapToGrid w:val="0"/>
              <w:rPr>
                <w:rFonts w:cs="Times New Roman"/>
                <w:sz w:val="24"/>
                <w:szCs w:val="32"/>
              </w:rPr>
            </w:pPr>
            <w:r>
              <w:rPr>
                <w:rFonts w:cs="Times New Roman" w:hint="eastAsia"/>
                <w:sz w:val="24"/>
                <w:szCs w:val="32"/>
              </w:rPr>
              <w:t>会展业</w:t>
            </w:r>
            <w:r>
              <w:rPr>
                <w:rFonts w:cs="Times New Roman"/>
                <w:sz w:val="24"/>
                <w:szCs w:val="32"/>
              </w:rPr>
              <w:t>总收入（亿元）</w:t>
            </w:r>
          </w:p>
        </w:tc>
        <w:tc>
          <w:tcPr>
            <w:tcW w:w="992" w:type="dxa"/>
            <w:vAlign w:val="center"/>
          </w:tcPr>
          <w:p w14:paraId="2D58E2A3" w14:textId="77777777" w:rsidR="001F2B4F" w:rsidRDefault="00000000">
            <w:pPr>
              <w:overflowPunct w:val="0"/>
              <w:adjustRightInd w:val="0"/>
              <w:snapToGrid w:val="0"/>
              <w:jc w:val="center"/>
              <w:rPr>
                <w:rFonts w:cs="Times New Roman"/>
                <w:bCs/>
                <w:sz w:val="28"/>
                <w:szCs w:val="28"/>
              </w:rPr>
            </w:pPr>
            <w:r>
              <w:rPr>
                <w:rFonts w:cs="Times New Roman"/>
                <w:sz w:val="24"/>
                <w:szCs w:val="24"/>
              </w:rPr>
              <w:t>1053.2</w:t>
            </w:r>
          </w:p>
        </w:tc>
        <w:tc>
          <w:tcPr>
            <w:tcW w:w="850" w:type="dxa"/>
            <w:vAlign w:val="center"/>
          </w:tcPr>
          <w:p w14:paraId="45FB43AF" w14:textId="77777777" w:rsidR="001F2B4F" w:rsidRDefault="00000000">
            <w:pPr>
              <w:overflowPunct w:val="0"/>
              <w:adjustRightInd w:val="0"/>
              <w:snapToGrid w:val="0"/>
              <w:jc w:val="center"/>
              <w:rPr>
                <w:rFonts w:cs="Times New Roman"/>
                <w:bCs/>
                <w:sz w:val="24"/>
                <w:szCs w:val="24"/>
              </w:rPr>
            </w:pPr>
            <w:r>
              <w:rPr>
                <w:rFonts w:cs="Times New Roman"/>
                <w:bCs/>
                <w:sz w:val="24"/>
                <w:szCs w:val="24"/>
              </w:rPr>
              <w:t>1600</w:t>
            </w:r>
          </w:p>
        </w:tc>
        <w:tc>
          <w:tcPr>
            <w:tcW w:w="1182" w:type="dxa"/>
            <w:vAlign w:val="center"/>
          </w:tcPr>
          <w:p w14:paraId="53605A74" w14:textId="77777777" w:rsidR="001F2B4F" w:rsidRDefault="00000000">
            <w:pPr>
              <w:overflowPunct w:val="0"/>
              <w:adjustRightInd w:val="0"/>
              <w:snapToGrid w:val="0"/>
              <w:jc w:val="center"/>
              <w:rPr>
                <w:rFonts w:cs="Times New Roman"/>
                <w:sz w:val="24"/>
                <w:szCs w:val="32"/>
              </w:rPr>
            </w:pPr>
            <w:r>
              <w:rPr>
                <w:rFonts w:cs="Times New Roman" w:hint="eastAsia"/>
                <w:sz w:val="24"/>
                <w:szCs w:val="32"/>
              </w:rPr>
              <w:t>预期性</w:t>
            </w:r>
          </w:p>
        </w:tc>
      </w:tr>
      <w:tr w:rsidR="001F2B4F" w14:paraId="2CA79D5A" w14:textId="77777777">
        <w:trPr>
          <w:trHeight w:val="482"/>
          <w:jc w:val="center"/>
        </w:trPr>
        <w:tc>
          <w:tcPr>
            <w:tcW w:w="988" w:type="dxa"/>
            <w:vMerge/>
            <w:vAlign w:val="center"/>
          </w:tcPr>
          <w:p w14:paraId="31984164" w14:textId="77777777" w:rsidR="001F2B4F" w:rsidRDefault="001F2B4F">
            <w:pPr>
              <w:overflowPunct w:val="0"/>
              <w:adjustRightInd w:val="0"/>
              <w:snapToGrid w:val="0"/>
              <w:jc w:val="center"/>
              <w:rPr>
                <w:rFonts w:cs="Times New Roman"/>
                <w:sz w:val="24"/>
                <w:szCs w:val="32"/>
              </w:rPr>
            </w:pPr>
          </w:p>
        </w:tc>
        <w:tc>
          <w:tcPr>
            <w:tcW w:w="4536" w:type="dxa"/>
            <w:vAlign w:val="center"/>
          </w:tcPr>
          <w:p w14:paraId="3911647B" w14:textId="77777777" w:rsidR="001F2B4F" w:rsidRDefault="00000000">
            <w:pPr>
              <w:overflowPunct w:val="0"/>
              <w:adjustRightInd w:val="0"/>
              <w:snapToGrid w:val="0"/>
              <w:rPr>
                <w:rFonts w:cs="Times New Roman"/>
                <w:sz w:val="24"/>
                <w:szCs w:val="32"/>
              </w:rPr>
            </w:pPr>
            <w:r>
              <w:rPr>
                <w:rFonts w:cs="Times New Roman" w:hint="eastAsia"/>
                <w:sz w:val="24"/>
                <w:szCs w:val="32"/>
              </w:rPr>
              <w:t>会展业</w:t>
            </w:r>
            <w:r>
              <w:rPr>
                <w:rFonts w:cs="Times New Roman"/>
                <w:sz w:val="24"/>
                <w:szCs w:val="32"/>
              </w:rPr>
              <w:t>直接收入（亿元）</w:t>
            </w:r>
          </w:p>
        </w:tc>
        <w:tc>
          <w:tcPr>
            <w:tcW w:w="992" w:type="dxa"/>
            <w:vAlign w:val="center"/>
          </w:tcPr>
          <w:p w14:paraId="6B48A3A3" w14:textId="77777777" w:rsidR="001F2B4F" w:rsidRDefault="00000000">
            <w:pPr>
              <w:overflowPunct w:val="0"/>
              <w:adjustRightInd w:val="0"/>
              <w:snapToGrid w:val="0"/>
              <w:jc w:val="center"/>
              <w:rPr>
                <w:rFonts w:cs="Times New Roman"/>
                <w:bCs/>
                <w:sz w:val="28"/>
                <w:szCs w:val="28"/>
              </w:rPr>
            </w:pPr>
            <w:r>
              <w:rPr>
                <w:rFonts w:cs="Times New Roman"/>
                <w:sz w:val="24"/>
                <w:szCs w:val="24"/>
              </w:rPr>
              <w:t>112.3</w:t>
            </w:r>
          </w:p>
        </w:tc>
        <w:tc>
          <w:tcPr>
            <w:tcW w:w="850" w:type="dxa"/>
            <w:vAlign w:val="center"/>
          </w:tcPr>
          <w:p w14:paraId="5CBAA610" w14:textId="77777777" w:rsidR="001F2B4F" w:rsidRDefault="00000000">
            <w:pPr>
              <w:overflowPunct w:val="0"/>
              <w:adjustRightInd w:val="0"/>
              <w:snapToGrid w:val="0"/>
              <w:jc w:val="center"/>
              <w:rPr>
                <w:rFonts w:cs="Times New Roman"/>
                <w:bCs/>
                <w:sz w:val="24"/>
                <w:szCs w:val="24"/>
              </w:rPr>
            </w:pPr>
            <w:r>
              <w:rPr>
                <w:rFonts w:cs="Times New Roman"/>
                <w:bCs/>
                <w:sz w:val="24"/>
                <w:szCs w:val="24"/>
              </w:rPr>
              <w:t>160</w:t>
            </w:r>
          </w:p>
        </w:tc>
        <w:tc>
          <w:tcPr>
            <w:tcW w:w="1182" w:type="dxa"/>
            <w:vAlign w:val="center"/>
          </w:tcPr>
          <w:p w14:paraId="7F81ABC5"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3B64E045" w14:textId="77777777">
        <w:trPr>
          <w:trHeight w:val="482"/>
          <w:jc w:val="center"/>
        </w:trPr>
        <w:tc>
          <w:tcPr>
            <w:tcW w:w="988" w:type="dxa"/>
            <w:vMerge/>
            <w:vAlign w:val="center"/>
          </w:tcPr>
          <w:p w14:paraId="354C580B" w14:textId="77777777" w:rsidR="001F2B4F" w:rsidRDefault="001F2B4F">
            <w:pPr>
              <w:overflowPunct w:val="0"/>
              <w:adjustRightInd w:val="0"/>
              <w:snapToGrid w:val="0"/>
              <w:jc w:val="center"/>
              <w:rPr>
                <w:rFonts w:cs="Times New Roman"/>
                <w:sz w:val="24"/>
                <w:szCs w:val="32"/>
              </w:rPr>
            </w:pPr>
          </w:p>
        </w:tc>
        <w:tc>
          <w:tcPr>
            <w:tcW w:w="4536" w:type="dxa"/>
            <w:vAlign w:val="center"/>
          </w:tcPr>
          <w:p w14:paraId="4CDA6960" w14:textId="77777777" w:rsidR="001F2B4F" w:rsidRDefault="00000000">
            <w:pPr>
              <w:overflowPunct w:val="0"/>
              <w:adjustRightInd w:val="0"/>
              <w:snapToGrid w:val="0"/>
              <w:rPr>
                <w:rFonts w:cs="Times New Roman"/>
                <w:sz w:val="24"/>
                <w:szCs w:val="32"/>
              </w:rPr>
            </w:pPr>
            <w:r>
              <w:rPr>
                <w:rFonts w:cs="Times New Roman" w:hint="eastAsia"/>
                <w:sz w:val="24"/>
                <w:szCs w:val="32"/>
              </w:rPr>
              <w:t>会展业</w:t>
            </w:r>
            <w:r>
              <w:rPr>
                <w:rFonts w:cs="Times New Roman"/>
                <w:sz w:val="24"/>
                <w:szCs w:val="32"/>
              </w:rPr>
              <w:t>拉动收入（亿元）</w:t>
            </w:r>
          </w:p>
        </w:tc>
        <w:tc>
          <w:tcPr>
            <w:tcW w:w="992" w:type="dxa"/>
            <w:vAlign w:val="center"/>
          </w:tcPr>
          <w:p w14:paraId="7209575F" w14:textId="77777777" w:rsidR="001F2B4F" w:rsidRDefault="00000000">
            <w:pPr>
              <w:overflowPunct w:val="0"/>
              <w:adjustRightInd w:val="0"/>
              <w:snapToGrid w:val="0"/>
              <w:jc w:val="center"/>
              <w:rPr>
                <w:rFonts w:cs="Times New Roman"/>
                <w:bCs/>
                <w:sz w:val="28"/>
                <w:szCs w:val="28"/>
              </w:rPr>
            </w:pPr>
            <w:r>
              <w:rPr>
                <w:rFonts w:cs="Times New Roman"/>
                <w:sz w:val="24"/>
                <w:szCs w:val="24"/>
              </w:rPr>
              <w:t>940.9</w:t>
            </w:r>
          </w:p>
        </w:tc>
        <w:tc>
          <w:tcPr>
            <w:tcW w:w="850" w:type="dxa"/>
            <w:vAlign w:val="center"/>
          </w:tcPr>
          <w:p w14:paraId="6B69CCFF" w14:textId="77777777" w:rsidR="001F2B4F" w:rsidRDefault="00000000">
            <w:pPr>
              <w:overflowPunct w:val="0"/>
              <w:adjustRightInd w:val="0"/>
              <w:snapToGrid w:val="0"/>
              <w:jc w:val="center"/>
              <w:rPr>
                <w:rFonts w:cs="Times New Roman"/>
                <w:bCs/>
                <w:sz w:val="24"/>
                <w:szCs w:val="24"/>
              </w:rPr>
            </w:pPr>
            <w:r>
              <w:rPr>
                <w:rFonts w:cs="Times New Roman"/>
                <w:bCs/>
                <w:sz w:val="24"/>
                <w:szCs w:val="24"/>
              </w:rPr>
              <w:t>1440</w:t>
            </w:r>
          </w:p>
        </w:tc>
        <w:tc>
          <w:tcPr>
            <w:tcW w:w="1182" w:type="dxa"/>
            <w:vAlign w:val="center"/>
          </w:tcPr>
          <w:p w14:paraId="54EA4BA5"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0946C5F9" w14:textId="77777777">
        <w:trPr>
          <w:trHeight w:val="482"/>
          <w:jc w:val="center"/>
        </w:trPr>
        <w:tc>
          <w:tcPr>
            <w:tcW w:w="988" w:type="dxa"/>
            <w:vMerge w:val="restart"/>
            <w:vAlign w:val="center"/>
          </w:tcPr>
          <w:p w14:paraId="27FC7D0D" w14:textId="77777777" w:rsidR="001F2B4F" w:rsidRDefault="00000000">
            <w:pPr>
              <w:overflowPunct w:val="0"/>
              <w:adjustRightInd w:val="0"/>
              <w:snapToGrid w:val="0"/>
              <w:jc w:val="center"/>
              <w:rPr>
                <w:rFonts w:cs="Times New Roman"/>
                <w:sz w:val="24"/>
                <w:szCs w:val="32"/>
              </w:rPr>
            </w:pPr>
            <w:r>
              <w:rPr>
                <w:rFonts w:cs="Times New Roman"/>
                <w:sz w:val="24"/>
                <w:szCs w:val="32"/>
              </w:rPr>
              <w:t>会展</w:t>
            </w:r>
          </w:p>
          <w:p w14:paraId="1C56283A" w14:textId="77777777" w:rsidR="001F2B4F" w:rsidRDefault="00000000">
            <w:pPr>
              <w:overflowPunct w:val="0"/>
              <w:adjustRightInd w:val="0"/>
              <w:snapToGrid w:val="0"/>
              <w:jc w:val="center"/>
              <w:rPr>
                <w:rFonts w:cs="Times New Roman"/>
                <w:sz w:val="24"/>
                <w:szCs w:val="32"/>
              </w:rPr>
            </w:pPr>
            <w:r>
              <w:rPr>
                <w:rFonts w:cs="Times New Roman"/>
                <w:sz w:val="24"/>
                <w:szCs w:val="32"/>
              </w:rPr>
              <w:t>规模</w:t>
            </w:r>
          </w:p>
        </w:tc>
        <w:tc>
          <w:tcPr>
            <w:tcW w:w="4536" w:type="dxa"/>
            <w:vAlign w:val="center"/>
          </w:tcPr>
          <w:p w14:paraId="3051FE01" w14:textId="77777777" w:rsidR="001F2B4F" w:rsidRDefault="00000000">
            <w:pPr>
              <w:overflowPunct w:val="0"/>
              <w:adjustRightInd w:val="0"/>
              <w:snapToGrid w:val="0"/>
              <w:rPr>
                <w:rFonts w:cs="Times New Roman"/>
                <w:sz w:val="24"/>
                <w:szCs w:val="32"/>
              </w:rPr>
            </w:pPr>
            <w:r>
              <w:rPr>
                <w:rFonts w:cs="Times New Roman" w:hint="eastAsia"/>
                <w:sz w:val="24"/>
                <w:szCs w:val="32"/>
              </w:rPr>
              <w:t>重大会展活动</w:t>
            </w:r>
            <w:r>
              <w:rPr>
                <w:rFonts w:cs="Times New Roman"/>
                <w:sz w:val="24"/>
                <w:szCs w:val="32"/>
              </w:rPr>
              <w:t>数量（</w:t>
            </w:r>
            <w:proofErr w:type="gramStart"/>
            <w:r>
              <w:rPr>
                <w:rFonts w:cs="Times New Roman"/>
                <w:sz w:val="24"/>
                <w:szCs w:val="32"/>
              </w:rPr>
              <w:t>个</w:t>
            </w:r>
            <w:proofErr w:type="gramEnd"/>
            <w:r>
              <w:rPr>
                <w:rFonts w:cs="Times New Roman"/>
                <w:sz w:val="24"/>
                <w:szCs w:val="32"/>
              </w:rPr>
              <w:t>）</w:t>
            </w:r>
          </w:p>
        </w:tc>
        <w:tc>
          <w:tcPr>
            <w:tcW w:w="992" w:type="dxa"/>
            <w:vAlign w:val="center"/>
          </w:tcPr>
          <w:p w14:paraId="548A4A66" w14:textId="77777777" w:rsidR="001F2B4F" w:rsidRDefault="00000000">
            <w:pPr>
              <w:overflowPunct w:val="0"/>
              <w:adjustRightInd w:val="0"/>
              <w:snapToGrid w:val="0"/>
              <w:jc w:val="center"/>
              <w:rPr>
                <w:rFonts w:cs="Times New Roman"/>
                <w:bCs/>
                <w:sz w:val="28"/>
                <w:szCs w:val="28"/>
              </w:rPr>
            </w:pPr>
            <w:r>
              <w:rPr>
                <w:rFonts w:cs="Times New Roman"/>
                <w:bCs/>
                <w:sz w:val="24"/>
                <w:szCs w:val="24"/>
              </w:rPr>
              <w:t>882</w:t>
            </w:r>
          </w:p>
        </w:tc>
        <w:tc>
          <w:tcPr>
            <w:tcW w:w="850" w:type="dxa"/>
            <w:vAlign w:val="center"/>
          </w:tcPr>
          <w:p w14:paraId="58550352" w14:textId="77777777" w:rsidR="001F2B4F" w:rsidRDefault="00000000">
            <w:pPr>
              <w:overflowPunct w:val="0"/>
              <w:adjustRightInd w:val="0"/>
              <w:snapToGrid w:val="0"/>
              <w:jc w:val="center"/>
              <w:rPr>
                <w:rFonts w:cs="Times New Roman"/>
                <w:sz w:val="24"/>
                <w:szCs w:val="24"/>
              </w:rPr>
            </w:pPr>
            <w:r>
              <w:rPr>
                <w:rFonts w:cs="Times New Roman"/>
                <w:bCs/>
                <w:sz w:val="24"/>
                <w:szCs w:val="24"/>
              </w:rPr>
              <w:t>1200</w:t>
            </w:r>
          </w:p>
        </w:tc>
        <w:tc>
          <w:tcPr>
            <w:tcW w:w="1182" w:type="dxa"/>
            <w:vAlign w:val="center"/>
          </w:tcPr>
          <w:p w14:paraId="506D3994"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1B8140FD" w14:textId="77777777">
        <w:trPr>
          <w:trHeight w:val="482"/>
          <w:jc w:val="center"/>
        </w:trPr>
        <w:tc>
          <w:tcPr>
            <w:tcW w:w="988" w:type="dxa"/>
            <w:vMerge/>
            <w:vAlign w:val="center"/>
          </w:tcPr>
          <w:p w14:paraId="7B25A7D0" w14:textId="77777777" w:rsidR="001F2B4F" w:rsidRDefault="001F2B4F">
            <w:pPr>
              <w:overflowPunct w:val="0"/>
              <w:adjustRightInd w:val="0"/>
              <w:snapToGrid w:val="0"/>
              <w:jc w:val="center"/>
              <w:rPr>
                <w:rFonts w:cs="Times New Roman"/>
                <w:sz w:val="24"/>
                <w:szCs w:val="32"/>
              </w:rPr>
            </w:pPr>
          </w:p>
        </w:tc>
        <w:tc>
          <w:tcPr>
            <w:tcW w:w="4536" w:type="dxa"/>
            <w:vAlign w:val="center"/>
          </w:tcPr>
          <w:p w14:paraId="6EA3C5E7" w14:textId="77777777" w:rsidR="001F2B4F" w:rsidRDefault="00000000">
            <w:pPr>
              <w:overflowPunct w:val="0"/>
              <w:adjustRightInd w:val="0"/>
              <w:snapToGrid w:val="0"/>
              <w:rPr>
                <w:rFonts w:cs="Times New Roman"/>
                <w:sz w:val="24"/>
                <w:szCs w:val="32"/>
              </w:rPr>
            </w:pPr>
            <w:r>
              <w:rPr>
                <w:rFonts w:cs="Times New Roman"/>
                <w:sz w:val="24"/>
                <w:szCs w:val="32"/>
              </w:rPr>
              <w:t>展</w:t>
            </w:r>
            <w:r>
              <w:rPr>
                <w:rFonts w:cs="Times New Roman" w:hint="eastAsia"/>
                <w:sz w:val="24"/>
                <w:szCs w:val="32"/>
              </w:rPr>
              <w:t>出</w:t>
            </w:r>
            <w:r>
              <w:rPr>
                <w:rFonts w:cs="Times New Roman"/>
                <w:sz w:val="24"/>
                <w:szCs w:val="32"/>
              </w:rPr>
              <w:t>总面积（</w:t>
            </w:r>
            <w:proofErr w:type="gramStart"/>
            <w:r>
              <w:rPr>
                <w:rFonts w:cs="Times New Roman"/>
                <w:sz w:val="24"/>
                <w:szCs w:val="32"/>
              </w:rPr>
              <w:t>万平方米</w:t>
            </w:r>
            <w:proofErr w:type="gramEnd"/>
            <w:r>
              <w:rPr>
                <w:rFonts w:cs="Times New Roman"/>
                <w:sz w:val="24"/>
                <w:szCs w:val="32"/>
              </w:rPr>
              <w:t>）</w:t>
            </w:r>
          </w:p>
        </w:tc>
        <w:tc>
          <w:tcPr>
            <w:tcW w:w="992" w:type="dxa"/>
            <w:vAlign w:val="center"/>
          </w:tcPr>
          <w:p w14:paraId="1BEC2C20" w14:textId="77777777" w:rsidR="001F2B4F" w:rsidRDefault="00000000">
            <w:pPr>
              <w:overflowPunct w:val="0"/>
              <w:adjustRightInd w:val="0"/>
              <w:snapToGrid w:val="0"/>
              <w:jc w:val="center"/>
              <w:rPr>
                <w:rFonts w:cs="Times New Roman"/>
                <w:bCs/>
                <w:sz w:val="28"/>
                <w:szCs w:val="28"/>
              </w:rPr>
            </w:pPr>
            <w:r>
              <w:rPr>
                <w:rFonts w:cs="Times New Roman"/>
                <w:bCs/>
                <w:sz w:val="24"/>
                <w:szCs w:val="24"/>
              </w:rPr>
              <w:t>958.9</w:t>
            </w:r>
          </w:p>
        </w:tc>
        <w:tc>
          <w:tcPr>
            <w:tcW w:w="850" w:type="dxa"/>
            <w:vAlign w:val="center"/>
          </w:tcPr>
          <w:p w14:paraId="4E658F2E" w14:textId="77777777" w:rsidR="001F2B4F" w:rsidRDefault="00000000">
            <w:pPr>
              <w:overflowPunct w:val="0"/>
              <w:adjustRightInd w:val="0"/>
              <w:snapToGrid w:val="0"/>
              <w:jc w:val="center"/>
              <w:rPr>
                <w:rFonts w:cs="Times New Roman"/>
                <w:sz w:val="24"/>
                <w:szCs w:val="24"/>
              </w:rPr>
            </w:pPr>
            <w:r>
              <w:rPr>
                <w:rFonts w:cs="Times New Roman"/>
                <w:bCs/>
                <w:sz w:val="24"/>
                <w:szCs w:val="24"/>
              </w:rPr>
              <w:t>1450</w:t>
            </w:r>
          </w:p>
        </w:tc>
        <w:tc>
          <w:tcPr>
            <w:tcW w:w="1182" w:type="dxa"/>
            <w:vAlign w:val="center"/>
          </w:tcPr>
          <w:p w14:paraId="2932C376"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4F05B198" w14:textId="77777777">
        <w:trPr>
          <w:trHeight w:val="482"/>
          <w:jc w:val="center"/>
        </w:trPr>
        <w:tc>
          <w:tcPr>
            <w:tcW w:w="988" w:type="dxa"/>
            <w:vMerge/>
            <w:vAlign w:val="center"/>
          </w:tcPr>
          <w:p w14:paraId="48A6E973" w14:textId="77777777" w:rsidR="001F2B4F" w:rsidRDefault="001F2B4F">
            <w:pPr>
              <w:overflowPunct w:val="0"/>
              <w:adjustRightInd w:val="0"/>
              <w:snapToGrid w:val="0"/>
              <w:jc w:val="center"/>
              <w:rPr>
                <w:rFonts w:cs="Times New Roman"/>
                <w:sz w:val="24"/>
                <w:szCs w:val="32"/>
              </w:rPr>
            </w:pPr>
          </w:p>
        </w:tc>
        <w:tc>
          <w:tcPr>
            <w:tcW w:w="4536" w:type="dxa"/>
            <w:vAlign w:val="center"/>
          </w:tcPr>
          <w:p w14:paraId="4656BBD1" w14:textId="77777777" w:rsidR="001F2B4F" w:rsidRDefault="00000000">
            <w:pPr>
              <w:overflowPunct w:val="0"/>
              <w:adjustRightInd w:val="0"/>
              <w:snapToGrid w:val="0"/>
              <w:rPr>
                <w:rFonts w:cs="Times New Roman"/>
                <w:sz w:val="24"/>
                <w:szCs w:val="32"/>
              </w:rPr>
            </w:pPr>
            <w:r>
              <w:rPr>
                <w:rFonts w:cs="Times New Roman" w:hint="eastAsia"/>
                <w:sz w:val="24"/>
                <w:szCs w:val="32"/>
              </w:rPr>
              <w:t>参会观展总人数（</w:t>
            </w:r>
            <w:proofErr w:type="gramStart"/>
            <w:r>
              <w:rPr>
                <w:rFonts w:cs="Times New Roman" w:hint="eastAsia"/>
                <w:sz w:val="24"/>
                <w:szCs w:val="32"/>
              </w:rPr>
              <w:t>万人次</w:t>
            </w:r>
            <w:proofErr w:type="gramEnd"/>
            <w:r>
              <w:rPr>
                <w:rFonts w:cs="Times New Roman" w:hint="eastAsia"/>
                <w:sz w:val="24"/>
                <w:szCs w:val="32"/>
              </w:rPr>
              <w:t>）</w:t>
            </w:r>
          </w:p>
        </w:tc>
        <w:tc>
          <w:tcPr>
            <w:tcW w:w="992" w:type="dxa"/>
            <w:vAlign w:val="center"/>
          </w:tcPr>
          <w:p w14:paraId="08700F01" w14:textId="77777777" w:rsidR="001F2B4F" w:rsidRDefault="00000000">
            <w:pPr>
              <w:overflowPunct w:val="0"/>
              <w:adjustRightInd w:val="0"/>
              <w:snapToGrid w:val="0"/>
              <w:jc w:val="center"/>
              <w:rPr>
                <w:rFonts w:cs="Times New Roman"/>
                <w:bCs/>
                <w:sz w:val="28"/>
                <w:szCs w:val="28"/>
              </w:rPr>
            </w:pPr>
            <w:r>
              <w:rPr>
                <w:rFonts w:cs="Times New Roman"/>
                <w:sz w:val="24"/>
                <w:szCs w:val="24"/>
              </w:rPr>
              <w:t>9350</w:t>
            </w:r>
          </w:p>
        </w:tc>
        <w:tc>
          <w:tcPr>
            <w:tcW w:w="850" w:type="dxa"/>
            <w:vAlign w:val="center"/>
          </w:tcPr>
          <w:p w14:paraId="4DFC572E" w14:textId="77777777" w:rsidR="001F2B4F" w:rsidRDefault="00000000">
            <w:pPr>
              <w:overflowPunct w:val="0"/>
              <w:adjustRightInd w:val="0"/>
              <w:snapToGrid w:val="0"/>
              <w:jc w:val="center"/>
              <w:rPr>
                <w:rFonts w:cs="Times New Roman"/>
                <w:sz w:val="24"/>
                <w:szCs w:val="24"/>
              </w:rPr>
            </w:pPr>
            <w:r>
              <w:rPr>
                <w:rFonts w:cs="Times New Roman"/>
                <w:bCs/>
                <w:sz w:val="24"/>
                <w:szCs w:val="24"/>
              </w:rPr>
              <w:t>12000</w:t>
            </w:r>
          </w:p>
        </w:tc>
        <w:tc>
          <w:tcPr>
            <w:tcW w:w="1182" w:type="dxa"/>
            <w:vAlign w:val="center"/>
          </w:tcPr>
          <w:p w14:paraId="64A953EE"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3C5F5FBD" w14:textId="77777777">
        <w:trPr>
          <w:trHeight w:val="482"/>
          <w:jc w:val="center"/>
        </w:trPr>
        <w:tc>
          <w:tcPr>
            <w:tcW w:w="988" w:type="dxa"/>
            <w:vMerge/>
            <w:vAlign w:val="center"/>
          </w:tcPr>
          <w:p w14:paraId="287AEFC8" w14:textId="77777777" w:rsidR="001F2B4F" w:rsidRDefault="001F2B4F">
            <w:pPr>
              <w:overflowPunct w:val="0"/>
              <w:adjustRightInd w:val="0"/>
              <w:snapToGrid w:val="0"/>
              <w:jc w:val="center"/>
              <w:rPr>
                <w:rFonts w:cs="Times New Roman"/>
                <w:sz w:val="24"/>
                <w:szCs w:val="32"/>
              </w:rPr>
            </w:pPr>
          </w:p>
        </w:tc>
        <w:tc>
          <w:tcPr>
            <w:tcW w:w="4536" w:type="dxa"/>
            <w:vAlign w:val="center"/>
          </w:tcPr>
          <w:p w14:paraId="0F4DA426" w14:textId="77777777" w:rsidR="001F2B4F" w:rsidRDefault="00000000">
            <w:pPr>
              <w:overflowPunct w:val="0"/>
              <w:adjustRightInd w:val="0"/>
              <w:snapToGrid w:val="0"/>
              <w:rPr>
                <w:rFonts w:cs="Times New Roman"/>
                <w:sz w:val="24"/>
                <w:szCs w:val="32"/>
              </w:rPr>
            </w:pPr>
            <w:r>
              <w:rPr>
                <w:rFonts w:cs="Times New Roman" w:hint="eastAsia"/>
                <w:sz w:val="24"/>
                <w:szCs w:val="32"/>
              </w:rPr>
              <w:t>5</w:t>
            </w:r>
            <w:r>
              <w:rPr>
                <w:rFonts w:cs="Times New Roman" w:hint="eastAsia"/>
                <w:sz w:val="24"/>
                <w:szCs w:val="32"/>
              </w:rPr>
              <w:t>万平方米及以上大型展览数量（</w:t>
            </w:r>
            <w:proofErr w:type="gramStart"/>
            <w:r>
              <w:rPr>
                <w:rFonts w:cs="Times New Roman" w:hint="eastAsia"/>
                <w:sz w:val="24"/>
                <w:szCs w:val="32"/>
              </w:rPr>
              <w:t>个</w:t>
            </w:r>
            <w:proofErr w:type="gramEnd"/>
            <w:r>
              <w:rPr>
                <w:rFonts w:cs="Times New Roman" w:hint="eastAsia"/>
                <w:sz w:val="24"/>
                <w:szCs w:val="32"/>
              </w:rPr>
              <w:t>）</w:t>
            </w:r>
          </w:p>
        </w:tc>
        <w:tc>
          <w:tcPr>
            <w:tcW w:w="992" w:type="dxa"/>
            <w:vAlign w:val="center"/>
          </w:tcPr>
          <w:p w14:paraId="309F0D23" w14:textId="77777777" w:rsidR="001F2B4F" w:rsidRDefault="00000000">
            <w:pPr>
              <w:overflowPunct w:val="0"/>
              <w:adjustRightInd w:val="0"/>
              <w:snapToGrid w:val="0"/>
              <w:jc w:val="center"/>
              <w:rPr>
                <w:rFonts w:cs="Times New Roman"/>
                <w:bCs/>
                <w:sz w:val="28"/>
                <w:szCs w:val="28"/>
              </w:rPr>
            </w:pPr>
            <w:r>
              <w:rPr>
                <w:rFonts w:cs="Times New Roman"/>
                <w:sz w:val="24"/>
                <w:szCs w:val="24"/>
              </w:rPr>
              <w:t>10</w:t>
            </w:r>
          </w:p>
        </w:tc>
        <w:tc>
          <w:tcPr>
            <w:tcW w:w="850" w:type="dxa"/>
            <w:vAlign w:val="center"/>
          </w:tcPr>
          <w:p w14:paraId="60C7CE8E" w14:textId="77777777" w:rsidR="001F2B4F" w:rsidRDefault="00000000">
            <w:pPr>
              <w:overflowPunct w:val="0"/>
              <w:adjustRightInd w:val="0"/>
              <w:snapToGrid w:val="0"/>
              <w:jc w:val="center"/>
              <w:rPr>
                <w:rFonts w:cs="Times New Roman"/>
                <w:sz w:val="24"/>
                <w:szCs w:val="24"/>
              </w:rPr>
            </w:pPr>
            <w:r>
              <w:rPr>
                <w:rFonts w:cs="Times New Roman"/>
                <w:bCs/>
                <w:sz w:val="24"/>
                <w:szCs w:val="24"/>
              </w:rPr>
              <w:t>30</w:t>
            </w:r>
          </w:p>
        </w:tc>
        <w:tc>
          <w:tcPr>
            <w:tcW w:w="1182" w:type="dxa"/>
            <w:vAlign w:val="center"/>
          </w:tcPr>
          <w:p w14:paraId="6C4C0B6E"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3E72C426" w14:textId="77777777">
        <w:trPr>
          <w:trHeight w:val="482"/>
          <w:jc w:val="center"/>
        </w:trPr>
        <w:tc>
          <w:tcPr>
            <w:tcW w:w="988" w:type="dxa"/>
            <w:vMerge w:val="restart"/>
            <w:vAlign w:val="center"/>
          </w:tcPr>
          <w:p w14:paraId="31E8BB57" w14:textId="77777777" w:rsidR="001F2B4F" w:rsidRDefault="00000000">
            <w:pPr>
              <w:overflowPunct w:val="0"/>
              <w:adjustRightInd w:val="0"/>
              <w:snapToGrid w:val="0"/>
              <w:jc w:val="center"/>
              <w:rPr>
                <w:rFonts w:cs="Times New Roman"/>
                <w:sz w:val="24"/>
                <w:szCs w:val="32"/>
              </w:rPr>
            </w:pPr>
            <w:r>
              <w:rPr>
                <w:rFonts w:cs="Times New Roman" w:hint="eastAsia"/>
                <w:sz w:val="24"/>
                <w:szCs w:val="32"/>
              </w:rPr>
              <w:t>国际</w:t>
            </w:r>
          </w:p>
          <w:p w14:paraId="4867BEBD" w14:textId="77777777" w:rsidR="001F2B4F" w:rsidRDefault="00000000">
            <w:pPr>
              <w:overflowPunct w:val="0"/>
              <w:adjustRightInd w:val="0"/>
              <w:snapToGrid w:val="0"/>
              <w:jc w:val="center"/>
              <w:rPr>
                <w:rFonts w:cs="Times New Roman"/>
                <w:sz w:val="24"/>
                <w:szCs w:val="32"/>
              </w:rPr>
            </w:pPr>
            <w:r>
              <w:rPr>
                <w:rFonts w:cs="Times New Roman" w:hint="eastAsia"/>
                <w:sz w:val="24"/>
                <w:szCs w:val="32"/>
              </w:rPr>
              <w:t>合作</w:t>
            </w:r>
          </w:p>
        </w:tc>
        <w:tc>
          <w:tcPr>
            <w:tcW w:w="4536" w:type="dxa"/>
            <w:vAlign w:val="center"/>
          </w:tcPr>
          <w:p w14:paraId="4F0D3319" w14:textId="77777777" w:rsidR="001F2B4F" w:rsidRDefault="00000000">
            <w:pPr>
              <w:overflowPunct w:val="0"/>
              <w:adjustRightInd w:val="0"/>
              <w:snapToGrid w:val="0"/>
              <w:rPr>
                <w:rFonts w:cs="Times New Roman"/>
                <w:sz w:val="24"/>
                <w:szCs w:val="32"/>
              </w:rPr>
            </w:pPr>
            <w:bookmarkStart w:id="58" w:name="_Hlk92804421"/>
            <w:r>
              <w:rPr>
                <w:rFonts w:cs="楷体_GB2312"/>
                <w:sz w:val="24"/>
                <w:szCs w:val="32"/>
              </w:rPr>
              <w:t>国际</w:t>
            </w:r>
            <w:r>
              <w:rPr>
                <w:rFonts w:cs="楷体_GB2312" w:hint="eastAsia"/>
                <w:sz w:val="24"/>
                <w:szCs w:val="32"/>
              </w:rPr>
              <w:t>会展活动</w:t>
            </w:r>
            <w:r>
              <w:rPr>
                <w:rFonts w:cs="楷体_GB2312"/>
                <w:sz w:val="24"/>
                <w:szCs w:val="32"/>
              </w:rPr>
              <w:t>数量</w:t>
            </w:r>
            <w:bookmarkEnd w:id="58"/>
            <w:r>
              <w:rPr>
                <w:rFonts w:cs="楷体_GB2312"/>
                <w:sz w:val="24"/>
                <w:szCs w:val="32"/>
              </w:rPr>
              <w:t>（</w:t>
            </w:r>
            <w:proofErr w:type="gramStart"/>
            <w:r>
              <w:rPr>
                <w:rFonts w:cs="楷体_GB2312"/>
                <w:sz w:val="24"/>
                <w:szCs w:val="32"/>
              </w:rPr>
              <w:t>个</w:t>
            </w:r>
            <w:proofErr w:type="gramEnd"/>
            <w:r>
              <w:rPr>
                <w:rFonts w:cs="楷体_GB2312"/>
                <w:sz w:val="24"/>
                <w:szCs w:val="32"/>
              </w:rPr>
              <w:t>）</w:t>
            </w:r>
          </w:p>
        </w:tc>
        <w:tc>
          <w:tcPr>
            <w:tcW w:w="992" w:type="dxa"/>
            <w:vAlign w:val="center"/>
          </w:tcPr>
          <w:p w14:paraId="486E2923" w14:textId="77777777" w:rsidR="001F2B4F" w:rsidRDefault="00000000">
            <w:pPr>
              <w:overflowPunct w:val="0"/>
              <w:adjustRightInd w:val="0"/>
              <w:snapToGrid w:val="0"/>
              <w:jc w:val="center"/>
              <w:rPr>
                <w:rFonts w:cs="Times New Roman"/>
                <w:bCs/>
                <w:sz w:val="28"/>
                <w:szCs w:val="28"/>
              </w:rPr>
            </w:pPr>
            <w:r>
              <w:rPr>
                <w:rFonts w:cs="Times New Roman"/>
                <w:sz w:val="24"/>
                <w:szCs w:val="24"/>
              </w:rPr>
              <w:t>100</w:t>
            </w:r>
          </w:p>
        </w:tc>
        <w:tc>
          <w:tcPr>
            <w:tcW w:w="850" w:type="dxa"/>
            <w:vAlign w:val="center"/>
          </w:tcPr>
          <w:p w14:paraId="452D0280" w14:textId="77777777" w:rsidR="001F2B4F" w:rsidRDefault="00000000">
            <w:pPr>
              <w:overflowPunct w:val="0"/>
              <w:adjustRightInd w:val="0"/>
              <w:snapToGrid w:val="0"/>
              <w:jc w:val="center"/>
              <w:rPr>
                <w:rFonts w:cs="Times New Roman"/>
                <w:bCs/>
                <w:sz w:val="24"/>
                <w:szCs w:val="24"/>
              </w:rPr>
            </w:pPr>
            <w:r>
              <w:rPr>
                <w:rFonts w:cs="Times New Roman"/>
                <w:bCs/>
                <w:sz w:val="24"/>
                <w:szCs w:val="24"/>
              </w:rPr>
              <w:t>230</w:t>
            </w:r>
          </w:p>
        </w:tc>
        <w:tc>
          <w:tcPr>
            <w:tcW w:w="1182" w:type="dxa"/>
            <w:vAlign w:val="center"/>
          </w:tcPr>
          <w:p w14:paraId="6AC5B9B8"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4DFD8C4B" w14:textId="77777777">
        <w:trPr>
          <w:trHeight w:val="482"/>
          <w:jc w:val="center"/>
        </w:trPr>
        <w:tc>
          <w:tcPr>
            <w:tcW w:w="988" w:type="dxa"/>
            <w:vMerge/>
            <w:vAlign w:val="center"/>
          </w:tcPr>
          <w:p w14:paraId="53DBCCD5" w14:textId="77777777" w:rsidR="001F2B4F" w:rsidRDefault="001F2B4F">
            <w:pPr>
              <w:overflowPunct w:val="0"/>
              <w:adjustRightInd w:val="0"/>
              <w:snapToGrid w:val="0"/>
              <w:ind w:firstLineChars="200" w:firstLine="472"/>
              <w:jc w:val="center"/>
              <w:rPr>
                <w:rFonts w:cs="Times New Roman"/>
                <w:sz w:val="24"/>
                <w:szCs w:val="32"/>
              </w:rPr>
            </w:pPr>
          </w:p>
        </w:tc>
        <w:tc>
          <w:tcPr>
            <w:tcW w:w="4536" w:type="dxa"/>
            <w:vAlign w:val="center"/>
          </w:tcPr>
          <w:p w14:paraId="324DD7DA" w14:textId="77777777" w:rsidR="001F2B4F" w:rsidRDefault="00000000">
            <w:pPr>
              <w:overflowPunct w:val="0"/>
              <w:adjustRightInd w:val="0"/>
              <w:snapToGrid w:val="0"/>
              <w:rPr>
                <w:rFonts w:cs="Times New Roman"/>
                <w:sz w:val="24"/>
                <w:szCs w:val="32"/>
              </w:rPr>
            </w:pPr>
            <w:r>
              <w:rPr>
                <w:rFonts w:cs="Times New Roman"/>
                <w:sz w:val="24"/>
                <w:szCs w:val="32"/>
              </w:rPr>
              <w:t>国际参展商比例（</w:t>
            </w:r>
            <w:r>
              <w:rPr>
                <w:rFonts w:cs="Times New Roman"/>
                <w:sz w:val="24"/>
                <w:szCs w:val="32"/>
              </w:rPr>
              <w:t>%</w:t>
            </w:r>
            <w:r>
              <w:rPr>
                <w:rFonts w:cs="Times New Roman"/>
                <w:sz w:val="24"/>
                <w:szCs w:val="32"/>
              </w:rPr>
              <w:t>）</w:t>
            </w:r>
          </w:p>
        </w:tc>
        <w:tc>
          <w:tcPr>
            <w:tcW w:w="992" w:type="dxa"/>
            <w:vAlign w:val="center"/>
          </w:tcPr>
          <w:p w14:paraId="6F5EA32E" w14:textId="77777777" w:rsidR="001F2B4F" w:rsidRDefault="00000000">
            <w:pPr>
              <w:overflowPunct w:val="0"/>
              <w:adjustRightInd w:val="0"/>
              <w:snapToGrid w:val="0"/>
              <w:jc w:val="center"/>
              <w:rPr>
                <w:rFonts w:cs="Times New Roman"/>
                <w:bCs/>
                <w:sz w:val="28"/>
                <w:szCs w:val="28"/>
              </w:rPr>
            </w:pPr>
            <w:r>
              <w:rPr>
                <w:rFonts w:cs="Times New Roman"/>
                <w:sz w:val="24"/>
                <w:szCs w:val="24"/>
              </w:rPr>
              <w:t>1.5%</w:t>
            </w:r>
          </w:p>
        </w:tc>
        <w:tc>
          <w:tcPr>
            <w:tcW w:w="850" w:type="dxa"/>
            <w:vAlign w:val="center"/>
          </w:tcPr>
          <w:p w14:paraId="1CA70583" w14:textId="77777777" w:rsidR="001F2B4F" w:rsidRDefault="00000000">
            <w:pPr>
              <w:overflowPunct w:val="0"/>
              <w:adjustRightInd w:val="0"/>
              <w:snapToGrid w:val="0"/>
              <w:jc w:val="center"/>
              <w:rPr>
                <w:rFonts w:cs="Times New Roman"/>
                <w:bCs/>
                <w:sz w:val="28"/>
                <w:szCs w:val="28"/>
              </w:rPr>
            </w:pPr>
            <w:r>
              <w:rPr>
                <w:rFonts w:cs="Times New Roman"/>
                <w:bCs/>
                <w:sz w:val="24"/>
                <w:szCs w:val="24"/>
              </w:rPr>
              <w:t>5</w:t>
            </w:r>
          </w:p>
        </w:tc>
        <w:tc>
          <w:tcPr>
            <w:tcW w:w="1182" w:type="dxa"/>
            <w:vAlign w:val="center"/>
          </w:tcPr>
          <w:p w14:paraId="4E8B3859"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08901CDC" w14:textId="77777777">
        <w:trPr>
          <w:trHeight w:val="482"/>
          <w:jc w:val="center"/>
        </w:trPr>
        <w:tc>
          <w:tcPr>
            <w:tcW w:w="988" w:type="dxa"/>
            <w:vMerge/>
            <w:vAlign w:val="center"/>
          </w:tcPr>
          <w:p w14:paraId="12FBEA8C" w14:textId="77777777" w:rsidR="001F2B4F" w:rsidRDefault="001F2B4F">
            <w:pPr>
              <w:overflowPunct w:val="0"/>
              <w:adjustRightInd w:val="0"/>
              <w:snapToGrid w:val="0"/>
              <w:jc w:val="center"/>
              <w:rPr>
                <w:rFonts w:cs="Times New Roman"/>
                <w:sz w:val="24"/>
                <w:szCs w:val="32"/>
              </w:rPr>
            </w:pPr>
          </w:p>
        </w:tc>
        <w:tc>
          <w:tcPr>
            <w:tcW w:w="4536" w:type="dxa"/>
            <w:vAlign w:val="center"/>
          </w:tcPr>
          <w:p w14:paraId="6561B368" w14:textId="77777777" w:rsidR="001F2B4F" w:rsidRDefault="00000000">
            <w:pPr>
              <w:overflowPunct w:val="0"/>
              <w:adjustRightInd w:val="0"/>
              <w:snapToGrid w:val="0"/>
              <w:rPr>
                <w:rFonts w:cs="Times New Roman"/>
                <w:sz w:val="24"/>
                <w:szCs w:val="32"/>
              </w:rPr>
            </w:pPr>
            <w:r>
              <w:rPr>
                <w:rFonts w:cs="Times New Roman" w:hint="eastAsia"/>
                <w:sz w:val="24"/>
                <w:szCs w:val="32"/>
              </w:rPr>
              <w:t>获得</w:t>
            </w:r>
            <w:r>
              <w:rPr>
                <w:rFonts w:cs="Times New Roman"/>
                <w:sz w:val="24"/>
                <w:szCs w:val="32"/>
              </w:rPr>
              <w:t>UFI</w:t>
            </w:r>
            <w:r>
              <w:rPr>
                <w:rFonts w:cs="Times New Roman"/>
                <w:sz w:val="24"/>
                <w:szCs w:val="32"/>
              </w:rPr>
              <w:t>认证项目数量（</w:t>
            </w:r>
            <w:proofErr w:type="gramStart"/>
            <w:r>
              <w:rPr>
                <w:rFonts w:cs="Times New Roman"/>
                <w:sz w:val="24"/>
                <w:szCs w:val="32"/>
              </w:rPr>
              <w:t>个</w:t>
            </w:r>
            <w:proofErr w:type="gramEnd"/>
            <w:r>
              <w:rPr>
                <w:rFonts w:cs="Times New Roman"/>
                <w:sz w:val="24"/>
                <w:szCs w:val="32"/>
              </w:rPr>
              <w:t>）</w:t>
            </w:r>
          </w:p>
        </w:tc>
        <w:tc>
          <w:tcPr>
            <w:tcW w:w="992" w:type="dxa"/>
            <w:vAlign w:val="center"/>
          </w:tcPr>
          <w:p w14:paraId="702C7F9C" w14:textId="77777777" w:rsidR="001F2B4F" w:rsidRDefault="00000000">
            <w:pPr>
              <w:overflowPunct w:val="0"/>
              <w:adjustRightInd w:val="0"/>
              <w:snapToGrid w:val="0"/>
              <w:jc w:val="center"/>
              <w:rPr>
                <w:rFonts w:cs="Times New Roman"/>
                <w:bCs/>
                <w:sz w:val="28"/>
                <w:szCs w:val="28"/>
              </w:rPr>
            </w:pPr>
            <w:r>
              <w:rPr>
                <w:rFonts w:cs="Times New Roman"/>
                <w:sz w:val="24"/>
                <w:szCs w:val="24"/>
              </w:rPr>
              <w:t>12</w:t>
            </w:r>
          </w:p>
        </w:tc>
        <w:tc>
          <w:tcPr>
            <w:tcW w:w="850" w:type="dxa"/>
            <w:vAlign w:val="center"/>
          </w:tcPr>
          <w:p w14:paraId="762873E9" w14:textId="77777777" w:rsidR="001F2B4F" w:rsidRDefault="00000000">
            <w:pPr>
              <w:overflowPunct w:val="0"/>
              <w:adjustRightInd w:val="0"/>
              <w:snapToGrid w:val="0"/>
              <w:jc w:val="center"/>
              <w:rPr>
                <w:rFonts w:cs="Times New Roman"/>
                <w:sz w:val="24"/>
                <w:szCs w:val="24"/>
              </w:rPr>
            </w:pPr>
            <w:r>
              <w:rPr>
                <w:rFonts w:cs="Times New Roman"/>
                <w:bCs/>
                <w:sz w:val="24"/>
                <w:szCs w:val="24"/>
              </w:rPr>
              <w:t>20</w:t>
            </w:r>
          </w:p>
        </w:tc>
        <w:tc>
          <w:tcPr>
            <w:tcW w:w="1182" w:type="dxa"/>
            <w:vAlign w:val="center"/>
          </w:tcPr>
          <w:p w14:paraId="08F3B5BF"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31939B5D" w14:textId="77777777">
        <w:trPr>
          <w:trHeight w:val="482"/>
          <w:jc w:val="center"/>
        </w:trPr>
        <w:tc>
          <w:tcPr>
            <w:tcW w:w="988" w:type="dxa"/>
            <w:vMerge/>
            <w:vAlign w:val="center"/>
          </w:tcPr>
          <w:p w14:paraId="1BAFC771" w14:textId="77777777" w:rsidR="001F2B4F" w:rsidRDefault="001F2B4F">
            <w:pPr>
              <w:overflowPunct w:val="0"/>
              <w:adjustRightInd w:val="0"/>
              <w:snapToGrid w:val="0"/>
              <w:jc w:val="center"/>
              <w:rPr>
                <w:rFonts w:cs="Times New Roman"/>
                <w:sz w:val="24"/>
                <w:szCs w:val="32"/>
              </w:rPr>
            </w:pPr>
          </w:p>
        </w:tc>
        <w:tc>
          <w:tcPr>
            <w:tcW w:w="4536" w:type="dxa"/>
            <w:vAlign w:val="center"/>
          </w:tcPr>
          <w:p w14:paraId="4182F146" w14:textId="77777777" w:rsidR="001F2B4F" w:rsidRDefault="00000000">
            <w:pPr>
              <w:overflowPunct w:val="0"/>
              <w:adjustRightInd w:val="0"/>
              <w:snapToGrid w:val="0"/>
              <w:rPr>
                <w:rFonts w:cs="Times New Roman"/>
                <w:sz w:val="24"/>
                <w:szCs w:val="32"/>
              </w:rPr>
            </w:pPr>
            <w:r>
              <w:rPr>
                <w:rFonts w:cs="Times New Roman" w:hint="eastAsia"/>
                <w:sz w:val="24"/>
                <w:szCs w:val="32"/>
              </w:rPr>
              <w:t>符合</w:t>
            </w:r>
            <w:r>
              <w:rPr>
                <w:rFonts w:cs="Times New Roman"/>
                <w:sz w:val="24"/>
                <w:szCs w:val="32"/>
              </w:rPr>
              <w:t>ICCA</w:t>
            </w:r>
            <w:r>
              <w:rPr>
                <w:rFonts w:cs="Times New Roman" w:hint="eastAsia"/>
                <w:sz w:val="24"/>
                <w:szCs w:val="32"/>
              </w:rPr>
              <w:t>标准的</w:t>
            </w:r>
            <w:r>
              <w:rPr>
                <w:rFonts w:cs="Times New Roman"/>
                <w:sz w:val="24"/>
                <w:szCs w:val="32"/>
              </w:rPr>
              <w:t>国际会议数量（</w:t>
            </w:r>
            <w:proofErr w:type="gramStart"/>
            <w:r>
              <w:rPr>
                <w:rFonts w:cs="Times New Roman"/>
                <w:sz w:val="24"/>
                <w:szCs w:val="32"/>
              </w:rPr>
              <w:t>个</w:t>
            </w:r>
            <w:proofErr w:type="gramEnd"/>
            <w:r>
              <w:rPr>
                <w:rFonts w:cs="Times New Roman"/>
                <w:sz w:val="24"/>
                <w:szCs w:val="32"/>
              </w:rPr>
              <w:t>）</w:t>
            </w:r>
          </w:p>
        </w:tc>
        <w:tc>
          <w:tcPr>
            <w:tcW w:w="992" w:type="dxa"/>
            <w:vAlign w:val="center"/>
          </w:tcPr>
          <w:p w14:paraId="576EDF3F" w14:textId="77777777" w:rsidR="001F2B4F" w:rsidRDefault="00000000">
            <w:pPr>
              <w:overflowPunct w:val="0"/>
              <w:adjustRightInd w:val="0"/>
              <w:snapToGrid w:val="0"/>
              <w:jc w:val="center"/>
              <w:rPr>
                <w:rFonts w:cs="Times New Roman"/>
                <w:bCs/>
                <w:sz w:val="28"/>
                <w:szCs w:val="28"/>
              </w:rPr>
            </w:pPr>
            <w:r>
              <w:rPr>
                <w:rFonts w:cs="Times New Roman"/>
                <w:sz w:val="24"/>
                <w:szCs w:val="24"/>
              </w:rPr>
              <w:t>/</w:t>
            </w:r>
          </w:p>
        </w:tc>
        <w:tc>
          <w:tcPr>
            <w:tcW w:w="850" w:type="dxa"/>
            <w:vAlign w:val="center"/>
          </w:tcPr>
          <w:p w14:paraId="53776567" w14:textId="77777777" w:rsidR="001F2B4F" w:rsidRDefault="00000000">
            <w:pPr>
              <w:overflowPunct w:val="0"/>
              <w:adjustRightInd w:val="0"/>
              <w:snapToGrid w:val="0"/>
              <w:jc w:val="center"/>
              <w:rPr>
                <w:rFonts w:cs="Times New Roman"/>
                <w:sz w:val="24"/>
                <w:szCs w:val="24"/>
              </w:rPr>
            </w:pPr>
            <w:r>
              <w:rPr>
                <w:rFonts w:cs="Times New Roman"/>
                <w:bCs/>
                <w:sz w:val="24"/>
                <w:szCs w:val="24"/>
              </w:rPr>
              <w:t>40</w:t>
            </w:r>
          </w:p>
        </w:tc>
        <w:tc>
          <w:tcPr>
            <w:tcW w:w="1182" w:type="dxa"/>
            <w:vAlign w:val="center"/>
          </w:tcPr>
          <w:p w14:paraId="267A0161"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1BECBF22" w14:textId="77777777">
        <w:trPr>
          <w:trHeight w:val="482"/>
          <w:jc w:val="center"/>
        </w:trPr>
        <w:tc>
          <w:tcPr>
            <w:tcW w:w="988" w:type="dxa"/>
            <w:vMerge w:val="restart"/>
            <w:vAlign w:val="center"/>
          </w:tcPr>
          <w:p w14:paraId="06BC1050" w14:textId="77777777" w:rsidR="001F2B4F" w:rsidRDefault="00000000">
            <w:pPr>
              <w:overflowPunct w:val="0"/>
              <w:adjustRightInd w:val="0"/>
              <w:snapToGrid w:val="0"/>
              <w:jc w:val="center"/>
              <w:rPr>
                <w:rFonts w:cs="Times New Roman"/>
                <w:sz w:val="24"/>
                <w:szCs w:val="32"/>
              </w:rPr>
            </w:pPr>
            <w:r>
              <w:rPr>
                <w:rFonts w:cs="Times New Roman"/>
                <w:sz w:val="24"/>
                <w:szCs w:val="32"/>
              </w:rPr>
              <w:t>会展</w:t>
            </w:r>
          </w:p>
          <w:p w14:paraId="77CA7226" w14:textId="77777777" w:rsidR="001F2B4F" w:rsidRDefault="00000000">
            <w:pPr>
              <w:overflowPunct w:val="0"/>
              <w:adjustRightInd w:val="0"/>
              <w:snapToGrid w:val="0"/>
              <w:jc w:val="center"/>
              <w:rPr>
                <w:rFonts w:cs="Times New Roman"/>
                <w:sz w:val="24"/>
                <w:szCs w:val="32"/>
              </w:rPr>
            </w:pPr>
            <w:r>
              <w:rPr>
                <w:rFonts w:cs="Times New Roman"/>
                <w:sz w:val="24"/>
                <w:szCs w:val="32"/>
              </w:rPr>
              <w:t>主体</w:t>
            </w:r>
          </w:p>
        </w:tc>
        <w:tc>
          <w:tcPr>
            <w:tcW w:w="4536" w:type="dxa"/>
            <w:vAlign w:val="center"/>
          </w:tcPr>
          <w:p w14:paraId="2C8A18A3" w14:textId="77777777" w:rsidR="001F2B4F" w:rsidRDefault="00000000">
            <w:pPr>
              <w:overflowPunct w:val="0"/>
              <w:adjustRightInd w:val="0"/>
              <w:snapToGrid w:val="0"/>
              <w:rPr>
                <w:rFonts w:cs="Times New Roman"/>
                <w:sz w:val="24"/>
                <w:szCs w:val="32"/>
              </w:rPr>
            </w:pPr>
            <w:r>
              <w:rPr>
                <w:rFonts w:cs="Times New Roman"/>
                <w:sz w:val="24"/>
                <w:szCs w:val="32"/>
              </w:rPr>
              <w:t>会展企业</w:t>
            </w:r>
            <w:r>
              <w:rPr>
                <w:rFonts w:cs="Times New Roman" w:hint="eastAsia"/>
                <w:sz w:val="24"/>
                <w:szCs w:val="32"/>
              </w:rPr>
              <w:t>数量</w:t>
            </w:r>
            <w:r>
              <w:rPr>
                <w:rFonts w:cs="Times New Roman"/>
                <w:sz w:val="24"/>
                <w:szCs w:val="32"/>
              </w:rPr>
              <w:t>（</w:t>
            </w:r>
            <w:r>
              <w:rPr>
                <w:rFonts w:cs="Times New Roman" w:hint="eastAsia"/>
                <w:sz w:val="24"/>
                <w:szCs w:val="32"/>
              </w:rPr>
              <w:t>家</w:t>
            </w:r>
            <w:r>
              <w:rPr>
                <w:rFonts w:cs="Times New Roman"/>
                <w:sz w:val="24"/>
                <w:szCs w:val="32"/>
              </w:rPr>
              <w:t>）</w:t>
            </w:r>
          </w:p>
        </w:tc>
        <w:tc>
          <w:tcPr>
            <w:tcW w:w="992" w:type="dxa"/>
            <w:vAlign w:val="center"/>
          </w:tcPr>
          <w:p w14:paraId="48DFF05E" w14:textId="77777777" w:rsidR="001F2B4F" w:rsidRDefault="00000000">
            <w:pPr>
              <w:overflowPunct w:val="0"/>
              <w:adjustRightInd w:val="0"/>
              <w:snapToGrid w:val="0"/>
              <w:jc w:val="center"/>
              <w:rPr>
                <w:rFonts w:cs="Times New Roman"/>
                <w:bCs/>
                <w:sz w:val="28"/>
                <w:szCs w:val="28"/>
              </w:rPr>
            </w:pPr>
            <w:r>
              <w:rPr>
                <w:rFonts w:cs="Times New Roman"/>
                <w:sz w:val="24"/>
                <w:szCs w:val="24"/>
              </w:rPr>
              <w:t>568</w:t>
            </w:r>
          </w:p>
        </w:tc>
        <w:tc>
          <w:tcPr>
            <w:tcW w:w="850" w:type="dxa"/>
            <w:vAlign w:val="center"/>
          </w:tcPr>
          <w:p w14:paraId="5215271B" w14:textId="77777777" w:rsidR="001F2B4F" w:rsidRDefault="00000000">
            <w:pPr>
              <w:overflowPunct w:val="0"/>
              <w:adjustRightInd w:val="0"/>
              <w:snapToGrid w:val="0"/>
              <w:jc w:val="center"/>
              <w:rPr>
                <w:rFonts w:cs="Times New Roman"/>
                <w:bCs/>
                <w:sz w:val="24"/>
                <w:szCs w:val="24"/>
              </w:rPr>
            </w:pPr>
            <w:r>
              <w:rPr>
                <w:rFonts w:cs="Times New Roman"/>
                <w:bCs/>
                <w:sz w:val="24"/>
                <w:szCs w:val="24"/>
              </w:rPr>
              <w:t>800</w:t>
            </w:r>
          </w:p>
        </w:tc>
        <w:tc>
          <w:tcPr>
            <w:tcW w:w="1182" w:type="dxa"/>
            <w:vAlign w:val="center"/>
          </w:tcPr>
          <w:p w14:paraId="108A124D"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2CBFA155" w14:textId="77777777">
        <w:trPr>
          <w:trHeight w:val="482"/>
          <w:jc w:val="center"/>
        </w:trPr>
        <w:tc>
          <w:tcPr>
            <w:tcW w:w="988" w:type="dxa"/>
            <w:vMerge/>
            <w:vAlign w:val="center"/>
          </w:tcPr>
          <w:p w14:paraId="646D46CD" w14:textId="77777777" w:rsidR="001F2B4F" w:rsidRDefault="001F2B4F">
            <w:pPr>
              <w:overflowPunct w:val="0"/>
              <w:adjustRightInd w:val="0"/>
              <w:snapToGrid w:val="0"/>
              <w:jc w:val="center"/>
              <w:rPr>
                <w:rFonts w:cs="Times New Roman"/>
                <w:sz w:val="24"/>
                <w:szCs w:val="32"/>
              </w:rPr>
            </w:pPr>
          </w:p>
        </w:tc>
        <w:tc>
          <w:tcPr>
            <w:tcW w:w="4536" w:type="dxa"/>
            <w:vAlign w:val="center"/>
          </w:tcPr>
          <w:p w14:paraId="4F42234D" w14:textId="77777777" w:rsidR="001F2B4F" w:rsidRDefault="00000000">
            <w:pPr>
              <w:overflowPunct w:val="0"/>
              <w:adjustRightInd w:val="0"/>
              <w:snapToGrid w:val="0"/>
              <w:rPr>
                <w:rFonts w:cs="Times New Roman"/>
                <w:sz w:val="24"/>
                <w:szCs w:val="32"/>
              </w:rPr>
            </w:pPr>
            <w:r>
              <w:rPr>
                <w:rFonts w:cs="Times New Roman"/>
                <w:sz w:val="24"/>
                <w:szCs w:val="32"/>
              </w:rPr>
              <w:t>年营业收入过亿本土会展企业</w:t>
            </w:r>
            <w:r>
              <w:rPr>
                <w:rFonts w:cs="Times New Roman" w:hint="eastAsia"/>
                <w:sz w:val="24"/>
                <w:szCs w:val="32"/>
              </w:rPr>
              <w:t>数量</w:t>
            </w:r>
            <w:r>
              <w:rPr>
                <w:rFonts w:cs="Times New Roman"/>
                <w:sz w:val="24"/>
                <w:szCs w:val="32"/>
              </w:rPr>
              <w:t>（</w:t>
            </w:r>
            <w:r>
              <w:rPr>
                <w:rFonts w:cs="Times New Roman" w:hint="eastAsia"/>
                <w:sz w:val="24"/>
                <w:szCs w:val="32"/>
              </w:rPr>
              <w:t>家</w:t>
            </w:r>
            <w:r>
              <w:rPr>
                <w:rFonts w:cs="Times New Roman"/>
                <w:sz w:val="24"/>
                <w:szCs w:val="32"/>
              </w:rPr>
              <w:t>）</w:t>
            </w:r>
          </w:p>
        </w:tc>
        <w:tc>
          <w:tcPr>
            <w:tcW w:w="992" w:type="dxa"/>
            <w:vAlign w:val="center"/>
          </w:tcPr>
          <w:p w14:paraId="37513257" w14:textId="77777777" w:rsidR="001F2B4F" w:rsidRDefault="00000000">
            <w:pPr>
              <w:overflowPunct w:val="0"/>
              <w:adjustRightInd w:val="0"/>
              <w:snapToGrid w:val="0"/>
              <w:jc w:val="center"/>
              <w:rPr>
                <w:rFonts w:cs="Times New Roman"/>
                <w:bCs/>
                <w:sz w:val="28"/>
                <w:szCs w:val="28"/>
              </w:rPr>
            </w:pPr>
            <w:r>
              <w:rPr>
                <w:rFonts w:cs="Times New Roman"/>
                <w:sz w:val="24"/>
                <w:szCs w:val="24"/>
              </w:rPr>
              <w:t>5</w:t>
            </w:r>
          </w:p>
        </w:tc>
        <w:tc>
          <w:tcPr>
            <w:tcW w:w="850" w:type="dxa"/>
            <w:vAlign w:val="center"/>
          </w:tcPr>
          <w:p w14:paraId="410506A0" w14:textId="77777777" w:rsidR="001F2B4F" w:rsidRDefault="00000000">
            <w:pPr>
              <w:overflowPunct w:val="0"/>
              <w:adjustRightInd w:val="0"/>
              <w:snapToGrid w:val="0"/>
              <w:jc w:val="center"/>
              <w:rPr>
                <w:rFonts w:cs="Times New Roman"/>
                <w:bCs/>
                <w:sz w:val="24"/>
                <w:szCs w:val="24"/>
              </w:rPr>
            </w:pPr>
            <w:r>
              <w:rPr>
                <w:rFonts w:cs="Times New Roman"/>
                <w:bCs/>
                <w:sz w:val="24"/>
                <w:szCs w:val="24"/>
              </w:rPr>
              <w:t>8</w:t>
            </w:r>
          </w:p>
        </w:tc>
        <w:tc>
          <w:tcPr>
            <w:tcW w:w="1182" w:type="dxa"/>
            <w:vAlign w:val="center"/>
          </w:tcPr>
          <w:p w14:paraId="78DC0BDA"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66428917" w14:textId="77777777">
        <w:trPr>
          <w:trHeight w:val="482"/>
          <w:jc w:val="center"/>
        </w:trPr>
        <w:tc>
          <w:tcPr>
            <w:tcW w:w="988" w:type="dxa"/>
            <w:vMerge/>
            <w:vAlign w:val="center"/>
          </w:tcPr>
          <w:p w14:paraId="4E9D0C86" w14:textId="77777777" w:rsidR="001F2B4F" w:rsidRDefault="001F2B4F">
            <w:pPr>
              <w:overflowPunct w:val="0"/>
              <w:adjustRightInd w:val="0"/>
              <w:snapToGrid w:val="0"/>
              <w:jc w:val="center"/>
              <w:rPr>
                <w:rFonts w:cs="Times New Roman"/>
                <w:sz w:val="24"/>
                <w:szCs w:val="32"/>
              </w:rPr>
            </w:pPr>
          </w:p>
        </w:tc>
        <w:tc>
          <w:tcPr>
            <w:tcW w:w="4536" w:type="dxa"/>
            <w:vAlign w:val="center"/>
          </w:tcPr>
          <w:p w14:paraId="79F657ED" w14:textId="77777777" w:rsidR="001F2B4F" w:rsidRDefault="00000000">
            <w:pPr>
              <w:overflowPunct w:val="0"/>
              <w:adjustRightInd w:val="0"/>
              <w:snapToGrid w:val="0"/>
              <w:rPr>
                <w:rFonts w:cs="Times New Roman"/>
                <w:sz w:val="24"/>
                <w:szCs w:val="32"/>
              </w:rPr>
            </w:pPr>
            <w:r>
              <w:rPr>
                <w:rFonts w:cs="Times New Roman"/>
                <w:sz w:val="24"/>
                <w:szCs w:val="32"/>
              </w:rPr>
              <w:t>知名会展企业落户或设立分支机构（</w:t>
            </w:r>
            <w:r>
              <w:rPr>
                <w:rFonts w:cs="Times New Roman" w:hint="eastAsia"/>
                <w:sz w:val="24"/>
                <w:szCs w:val="32"/>
              </w:rPr>
              <w:t>家）</w:t>
            </w:r>
          </w:p>
        </w:tc>
        <w:tc>
          <w:tcPr>
            <w:tcW w:w="992" w:type="dxa"/>
            <w:vAlign w:val="center"/>
          </w:tcPr>
          <w:p w14:paraId="7A982AD6" w14:textId="77777777" w:rsidR="001F2B4F" w:rsidRDefault="00000000">
            <w:pPr>
              <w:overflowPunct w:val="0"/>
              <w:adjustRightInd w:val="0"/>
              <w:snapToGrid w:val="0"/>
              <w:jc w:val="center"/>
              <w:rPr>
                <w:rFonts w:cs="Times New Roman"/>
                <w:bCs/>
                <w:sz w:val="28"/>
                <w:szCs w:val="28"/>
              </w:rPr>
            </w:pPr>
            <w:r>
              <w:rPr>
                <w:rFonts w:cs="Times New Roman"/>
                <w:bCs/>
                <w:sz w:val="24"/>
                <w:szCs w:val="24"/>
              </w:rPr>
              <w:t>6</w:t>
            </w:r>
          </w:p>
        </w:tc>
        <w:tc>
          <w:tcPr>
            <w:tcW w:w="850" w:type="dxa"/>
            <w:vAlign w:val="center"/>
          </w:tcPr>
          <w:p w14:paraId="3AB04ACE" w14:textId="77777777" w:rsidR="001F2B4F" w:rsidRDefault="00000000">
            <w:pPr>
              <w:overflowPunct w:val="0"/>
              <w:adjustRightInd w:val="0"/>
              <w:snapToGrid w:val="0"/>
              <w:jc w:val="center"/>
              <w:rPr>
                <w:rFonts w:cs="Times New Roman"/>
                <w:bCs/>
                <w:sz w:val="24"/>
                <w:szCs w:val="24"/>
              </w:rPr>
            </w:pPr>
            <w:r>
              <w:rPr>
                <w:rFonts w:cs="Times New Roman"/>
                <w:bCs/>
                <w:sz w:val="24"/>
                <w:szCs w:val="24"/>
              </w:rPr>
              <w:t>15</w:t>
            </w:r>
          </w:p>
        </w:tc>
        <w:tc>
          <w:tcPr>
            <w:tcW w:w="1182" w:type="dxa"/>
            <w:vAlign w:val="center"/>
          </w:tcPr>
          <w:p w14:paraId="18328C71"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7FDEC5D6" w14:textId="77777777">
        <w:trPr>
          <w:trHeight w:val="482"/>
          <w:jc w:val="center"/>
        </w:trPr>
        <w:tc>
          <w:tcPr>
            <w:tcW w:w="988" w:type="dxa"/>
            <w:vMerge w:val="restart"/>
            <w:vAlign w:val="center"/>
          </w:tcPr>
          <w:p w14:paraId="2192207B" w14:textId="77777777" w:rsidR="001F2B4F" w:rsidRDefault="00000000">
            <w:pPr>
              <w:overflowPunct w:val="0"/>
              <w:adjustRightInd w:val="0"/>
              <w:snapToGrid w:val="0"/>
              <w:jc w:val="center"/>
              <w:rPr>
                <w:rFonts w:cs="Times New Roman"/>
                <w:sz w:val="24"/>
                <w:szCs w:val="32"/>
              </w:rPr>
            </w:pPr>
            <w:r>
              <w:rPr>
                <w:rFonts w:cs="Times New Roman"/>
                <w:sz w:val="24"/>
                <w:szCs w:val="32"/>
              </w:rPr>
              <w:t>会展</w:t>
            </w:r>
          </w:p>
          <w:p w14:paraId="7DF4E273" w14:textId="77777777" w:rsidR="001F2B4F" w:rsidRDefault="00000000">
            <w:pPr>
              <w:overflowPunct w:val="0"/>
              <w:adjustRightInd w:val="0"/>
              <w:snapToGrid w:val="0"/>
              <w:jc w:val="center"/>
              <w:rPr>
                <w:rFonts w:cs="Times New Roman"/>
                <w:sz w:val="24"/>
                <w:szCs w:val="32"/>
              </w:rPr>
            </w:pPr>
            <w:r>
              <w:rPr>
                <w:rFonts w:cs="Times New Roman"/>
                <w:sz w:val="24"/>
                <w:szCs w:val="32"/>
              </w:rPr>
              <w:t>人才</w:t>
            </w:r>
          </w:p>
        </w:tc>
        <w:tc>
          <w:tcPr>
            <w:tcW w:w="4536" w:type="dxa"/>
            <w:vAlign w:val="center"/>
          </w:tcPr>
          <w:p w14:paraId="36A058D4" w14:textId="77777777" w:rsidR="001F2B4F" w:rsidRDefault="00000000">
            <w:pPr>
              <w:overflowPunct w:val="0"/>
              <w:adjustRightInd w:val="0"/>
              <w:snapToGrid w:val="0"/>
              <w:rPr>
                <w:rFonts w:cs="Times New Roman"/>
                <w:sz w:val="24"/>
                <w:szCs w:val="32"/>
              </w:rPr>
            </w:pPr>
            <w:r>
              <w:rPr>
                <w:rFonts w:cs="Times New Roman" w:hint="eastAsia"/>
                <w:sz w:val="24"/>
                <w:szCs w:val="32"/>
              </w:rPr>
              <w:t>会展职业经理人（高级）认证数量（人）</w:t>
            </w:r>
          </w:p>
        </w:tc>
        <w:tc>
          <w:tcPr>
            <w:tcW w:w="992" w:type="dxa"/>
            <w:vAlign w:val="center"/>
          </w:tcPr>
          <w:p w14:paraId="407C8B04" w14:textId="77777777" w:rsidR="001F2B4F" w:rsidRDefault="00000000">
            <w:pPr>
              <w:overflowPunct w:val="0"/>
              <w:adjustRightInd w:val="0"/>
              <w:snapToGrid w:val="0"/>
              <w:jc w:val="center"/>
              <w:rPr>
                <w:rFonts w:cs="Times New Roman"/>
                <w:bCs/>
                <w:sz w:val="28"/>
                <w:szCs w:val="28"/>
              </w:rPr>
            </w:pPr>
            <w:r>
              <w:rPr>
                <w:rFonts w:cs="Times New Roman"/>
                <w:sz w:val="24"/>
                <w:szCs w:val="24"/>
              </w:rPr>
              <w:t>200</w:t>
            </w:r>
          </w:p>
        </w:tc>
        <w:tc>
          <w:tcPr>
            <w:tcW w:w="850" w:type="dxa"/>
            <w:vAlign w:val="center"/>
          </w:tcPr>
          <w:p w14:paraId="04EDF5AB" w14:textId="77777777" w:rsidR="001F2B4F" w:rsidRDefault="00000000">
            <w:pPr>
              <w:overflowPunct w:val="0"/>
              <w:adjustRightInd w:val="0"/>
              <w:snapToGrid w:val="0"/>
              <w:jc w:val="center"/>
              <w:rPr>
                <w:rFonts w:cs="Times New Roman"/>
                <w:bCs/>
                <w:sz w:val="24"/>
                <w:szCs w:val="24"/>
              </w:rPr>
            </w:pPr>
            <w:r>
              <w:rPr>
                <w:rFonts w:cs="Times New Roman"/>
                <w:sz w:val="24"/>
                <w:szCs w:val="24"/>
              </w:rPr>
              <w:t>350</w:t>
            </w:r>
          </w:p>
        </w:tc>
        <w:tc>
          <w:tcPr>
            <w:tcW w:w="1182" w:type="dxa"/>
            <w:vAlign w:val="center"/>
          </w:tcPr>
          <w:p w14:paraId="37F65319"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6C27A9DC" w14:textId="77777777">
        <w:trPr>
          <w:trHeight w:val="482"/>
          <w:jc w:val="center"/>
        </w:trPr>
        <w:tc>
          <w:tcPr>
            <w:tcW w:w="988" w:type="dxa"/>
            <w:vMerge/>
            <w:vAlign w:val="center"/>
          </w:tcPr>
          <w:p w14:paraId="2058A831" w14:textId="77777777" w:rsidR="001F2B4F" w:rsidRDefault="001F2B4F">
            <w:pPr>
              <w:overflowPunct w:val="0"/>
              <w:adjustRightInd w:val="0"/>
              <w:snapToGrid w:val="0"/>
              <w:jc w:val="center"/>
              <w:rPr>
                <w:rFonts w:cs="Times New Roman"/>
                <w:sz w:val="24"/>
                <w:szCs w:val="32"/>
              </w:rPr>
            </w:pPr>
          </w:p>
        </w:tc>
        <w:tc>
          <w:tcPr>
            <w:tcW w:w="4536" w:type="dxa"/>
            <w:vAlign w:val="center"/>
          </w:tcPr>
          <w:p w14:paraId="0439269D" w14:textId="77777777" w:rsidR="001F2B4F" w:rsidRDefault="00000000">
            <w:pPr>
              <w:overflowPunct w:val="0"/>
              <w:adjustRightInd w:val="0"/>
              <w:snapToGrid w:val="0"/>
              <w:rPr>
                <w:rFonts w:cs="Times New Roman"/>
                <w:sz w:val="24"/>
                <w:szCs w:val="32"/>
              </w:rPr>
            </w:pPr>
            <w:r>
              <w:rPr>
                <w:rFonts w:cs="Times New Roman"/>
                <w:sz w:val="24"/>
                <w:szCs w:val="32"/>
              </w:rPr>
              <w:t>引进国际会展人才</w:t>
            </w:r>
            <w:r>
              <w:rPr>
                <w:rFonts w:cs="Times New Roman" w:hint="eastAsia"/>
                <w:sz w:val="24"/>
                <w:szCs w:val="32"/>
              </w:rPr>
              <w:t>数量</w:t>
            </w:r>
            <w:r>
              <w:rPr>
                <w:rFonts w:cs="Times New Roman"/>
                <w:sz w:val="24"/>
                <w:szCs w:val="32"/>
              </w:rPr>
              <w:t>（</w:t>
            </w:r>
            <w:r>
              <w:rPr>
                <w:rFonts w:cs="Times New Roman" w:hint="eastAsia"/>
                <w:sz w:val="24"/>
                <w:szCs w:val="32"/>
              </w:rPr>
              <w:t>人</w:t>
            </w:r>
            <w:r>
              <w:rPr>
                <w:rFonts w:cs="Times New Roman"/>
                <w:sz w:val="24"/>
                <w:szCs w:val="32"/>
              </w:rPr>
              <w:t>）</w:t>
            </w:r>
          </w:p>
        </w:tc>
        <w:tc>
          <w:tcPr>
            <w:tcW w:w="992" w:type="dxa"/>
            <w:vAlign w:val="center"/>
          </w:tcPr>
          <w:p w14:paraId="1F8AFB1A" w14:textId="77777777" w:rsidR="001F2B4F" w:rsidRDefault="00000000">
            <w:pPr>
              <w:overflowPunct w:val="0"/>
              <w:adjustRightInd w:val="0"/>
              <w:snapToGrid w:val="0"/>
              <w:jc w:val="center"/>
              <w:rPr>
                <w:rFonts w:cs="Times New Roman"/>
                <w:bCs/>
                <w:sz w:val="28"/>
                <w:szCs w:val="28"/>
              </w:rPr>
            </w:pPr>
            <w:r>
              <w:rPr>
                <w:rFonts w:cs="Times New Roman"/>
                <w:sz w:val="24"/>
                <w:szCs w:val="24"/>
              </w:rPr>
              <w:t>100</w:t>
            </w:r>
          </w:p>
        </w:tc>
        <w:tc>
          <w:tcPr>
            <w:tcW w:w="850" w:type="dxa"/>
            <w:vAlign w:val="center"/>
          </w:tcPr>
          <w:p w14:paraId="31CFD26A" w14:textId="77777777" w:rsidR="001F2B4F" w:rsidRDefault="00000000">
            <w:pPr>
              <w:overflowPunct w:val="0"/>
              <w:adjustRightInd w:val="0"/>
              <w:snapToGrid w:val="0"/>
              <w:jc w:val="center"/>
              <w:rPr>
                <w:rFonts w:cs="Times New Roman"/>
                <w:sz w:val="24"/>
                <w:szCs w:val="24"/>
              </w:rPr>
            </w:pPr>
            <w:r>
              <w:rPr>
                <w:rFonts w:cs="Times New Roman"/>
                <w:bCs/>
                <w:sz w:val="24"/>
                <w:szCs w:val="24"/>
              </w:rPr>
              <w:t>500</w:t>
            </w:r>
          </w:p>
        </w:tc>
        <w:tc>
          <w:tcPr>
            <w:tcW w:w="1182" w:type="dxa"/>
            <w:vAlign w:val="center"/>
          </w:tcPr>
          <w:p w14:paraId="0CC7E84E"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7A432B69" w14:textId="77777777">
        <w:trPr>
          <w:trHeight w:val="482"/>
          <w:jc w:val="center"/>
        </w:trPr>
        <w:tc>
          <w:tcPr>
            <w:tcW w:w="988" w:type="dxa"/>
            <w:vMerge/>
            <w:vAlign w:val="center"/>
          </w:tcPr>
          <w:p w14:paraId="48AC5F99" w14:textId="77777777" w:rsidR="001F2B4F" w:rsidRDefault="001F2B4F">
            <w:pPr>
              <w:overflowPunct w:val="0"/>
              <w:adjustRightInd w:val="0"/>
              <w:snapToGrid w:val="0"/>
              <w:jc w:val="center"/>
              <w:rPr>
                <w:rFonts w:cs="Times New Roman"/>
                <w:sz w:val="24"/>
                <w:szCs w:val="32"/>
              </w:rPr>
            </w:pPr>
          </w:p>
        </w:tc>
        <w:tc>
          <w:tcPr>
            <w:tcW w:w="4536" w:type="dxa"/>
            <w:vAlign w:val="center"/>
          </w:tcPr>
          <w:p w14:paraId="17DC4208" w14:textId="77777777" w:rsidR="001F2B4F" w:rsidRDefault="00000000">
            <w:pPr>
              <w:overflowPunct w:val="0"/>
              <w:adjustRightInd w:val="0"/>
              <w:snapToGrid w:val="0"/>
              <w:rPr>
                <w:rFonts w:cs="Times New Roman"/>
                <w:sz w:val="24"/>
                <w:szCs w:val="32"/>
              </w:rPr>
            </w:pPr>
            <w:r>
              <w:rPr>
                <w:rFonts w:cs="Times New Roman"/>
                <w:sz w:val="24"/>
                <w:szCs w:val="32"/>
              </w:rPr>
              <w:t>会展</w:t>
            </w:r>
            <w:r>
              <w:rPr>
                <w:rFonts w:cs="Times New Roman" w:hint="eastAsia"/>
                <w:sz w:val="24"/>
                <w:szCs w:val="32"/>
              </w:rPr>
              <w:t>职业</w:t>
            </w:r>
            <w:r>
              <w:rPr>
                <w:rFonts w:cs="Times New Roman"/>
                <w:sz w:val="24"/>
                <w:szCs w:val="32"/>
              </w:rPr>
              <w:t>培训</w:t>
            </w:r>
            <w:r>
              <w:rPr>
                <w:rFonts w:cs="Times New Roman" w:hint="eastAsia"/>
                <w:sz w:val="24"/>
                <w:szCs w:val="32"/>
              </w:rPr>
              <w:t>人数</w:t>
            </w:r>
            <w:r>
              <w:rPr>
                <w:rFonts w:cs="Times New Roman"/>
                <w:sz w:val="24"/>
                <w:szCs w:val="32"/>
              </w:rPr>
              <w:t>（人次）</w:t>
            </w:r>
          </w:p>
        </w:tc>
        <w:tc>
          <w:tcPr>
            <w:tcW w:w="992" w:type="dxa"/>
            <w:vAlign w:val="center"/>
          </w:tcPr>
          <w:p w14:paraId="77DDF163" w14:textId="77777777" w:rsidR="001F2B4F" w:rsidRDefault="00000000">
            <w:pPr>
              <w:overflowPunct w:val="0"/>
              <w:adjustRightInd w:val="0"/>
              <w:snapToGrid w:val="0"/>
              <w:jc w:val="center"/>
              <w:rPr>
                <w:rFonts w:cs="Times New Roman"/>
                <w:bCs/>
                <w:sz w:val="28"/>
                <w:szCs w:val="28"/>
              </w:rPr>
            </w:pPr>
            <w:r>
              <w:rPr>
                <w:rFonts w:cs="Times New Roman"/>
                <w:sz w:val="24"/>
                <w:szCs w:val="24"/>
              </w:rPr>
              <w:t>3000</w:t>
            </w:r>
          </w:p>
        </w:tc>
        <w:tc>
          <w:tcPr>
            <w:tcW w:w="850" w:type="dxa"/>
            <w:vAlign w:val="center"/>
          </w:tcPr>
          <w:p w14:paraId="188263EB" w14:textId="77777777" w:rsidR="001F2B4F" w:rsidRDefault="00000000">
            <w:pPr>
              <w:overflowPunct w:val="0"/>
              <w:adjustRightInd w:val="0"/>
              <w:snapToGrid w:val="0"/>
              <w:jc w:val="center"/>
              <w:rPr>
                <w:rFonts w:cs="Times New Roman"/>
                <w:sz w:val="24"/>
                <w:szCs w:val="24"/>
              </w:rPr>
            </w:pPr>
            <w:r>
              <w:rPr>
                <w:rFonts w:cs="Times New Roman"/>
                <w:sz w:val="24"/>
                <w:szCs w:val="24"/>
              </w:rPr>
              <w:t>5000</w:t>
            </w:r>
          </w:p>
        </w:tc>
        <w:tc>
          <w:tcPr>
            <w:tcW w:w="1182" w:type="dxa"/>
            <w:vAlign w:val="center"/>
          </w:tcPr>
          <w:p w14:paraId="5D3FF913"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约束性</w:t>
            </w:r>
          </w:p>
        </w:tc>
      </w:tr>
      <w:tr w:rsidR="001F2B4F" w14:paraId="714A196E" w14:textId="77777777">
        <w:trPr>
          <w:trHeight w:val="482"/>
          <w:jc w:val="center"/>
        </w:trPr>
        <w:tc>
          <w:tcPr>
            <w:tcW w:w="988" w:type="dxa"/>
            <w:vMerge w:val="restart"/>
            <w:vAlign w:val="center"/>
          </w:tcPr>
          <w:p w14:paraId="7DE54F5B" w14:textId="77777777" w:rsidR="001F2B4F" w:rsidRDefault="00000000">
            <w:pPr>
              <w:overflowPunct w:val="0"/>
              <w:adjustRightInd w:val="0"/>
              <w:snapToGrid w:val="0"/>
              <w:jc w:val="center"/>
              <w:rPr>
                <w:rFonts w:cs="Times New Roman"/>
                <w:bCs/>
                <w:sz w:val="24"/>
                <w:szCs w:val="32"/>
              </w:rPr>
            </w:pPr>
            <w:r>
              <w:rPr>
                <w:rFonts w:cs="Times New Roman" w:hint="eastAsia"/>
                <w:bCs/>
                <w:sz w:val="24"/>
                <w:szCs w:val="32"/>
              </w:rPr>
              <w:t>会展</w:t>
            </w:r>
          </w:p>
          <w:p w14:paraId="61224BC5" w14:textId="77777777" w:rsidR="001F2B4F" w:rsidRDefault="00000000">
            <w:pPr>
              <w:overflowPunct w:val="0"/>
              <w:adjustRightInd w:val="0"/>
              <w:snapToGrid w:val="0"/>
              <w:jc w:val="center"/>
              <w:rPr>
                <w:rFonts w:cs="Times New Roman"/>
                <w:sz w:val="24"/>
                <w:szCs w:val="32"/>
              </w:rPr>
            </w:pPr>
            <w:r>
              <w:rPr>
                <w:rFonts w:cs="Times New Roman" w:hint="eastAsia"/>
                <w:bCs/>
                <w:sz w:val="24"/>
                <w:szCs w:val="32"/>
              </w:rPr>
              <w:t>载体</w:t>
            </w:r>
          </w:p>
        </w:tc>
        <w:tc>
          <w:tcPr>
            <w:tcW w:w="4536" w:type="dxa"/>
            <w:vAlign w:val="center"/>
          </w:tcPr>
          <w:p w14:paraId="7BC1AC30" w14:textId="77777777" w:rsidR="001F2B4F" w:rsidRDefault="00000000">
            <w:pPr>
              <w:overflowPunct w:val="0"/>
              <w:adjustRightInd w:val="0"/>
              <w:snapToGrid w:val="0"/>
              <w:rPr>
                <w:rFonts w:cs="Times New Roman"/>
                <w:sz w:val="24"/>
                <w:szCs w:val="32"/>
              </w:rPr>
            </w:pPr>
            <w:r>
              <w:rPr>
                <w:rFonts w:cs="Times New Roman" w:hint="eastAsia"/>
                <w:sz w:val="24"/>
                <w:szCs w:val="32"/>
              </w:rPr>
              <w:t>会展专业场馆可供展出面积（</w:t>
            </w:r>
            <w:proofErr w:type="gramStart"/>
            <w:r>
              <w:rPr>
                <w:rFonts w:cs="Times New Roman" w:hint="eastAsia"/>
                <w:sz w:val="24"/>
                <w:szCs w:val="32"/>
              </w:rPr>
              <w:t>万平方米</w:t>
            </w:r>
            <w:proofErr w:type="gramEnd"/>
            <w:r>
              <w:rPr>
                <w:rFonts w:cs="Times New Roman" w:hint="eastAsia"/>
                <w:sz w:val="24"/>
                <w:szCs w:val="32"/>
              </w:rPr>
              <w:t>）</w:t>
            </w:r>
          </w:p>
        </w:tc>
        <w:tc>
          <w:tcPr>
            <w:tcW w:w="992" w:type="dxa"/>
            <w:vAlign w:val="center"/>
          </w:tcPr>
          <w:p w14:paraId="4FF7B5A8" w14:textId="77777777" w:rsidR="001F2B4F" w:rsidRDefault="00000000">
            <w:pPr>
              <w:overflowPunct w:val="0"/>
              <w:adjustRightInd w:val="0"/>
              <w:snapToGrid w:val="0"/>
              <w:jc w:val="center"/>
              <w:rPr>
                <w:rFonts w:cs="Times New Roman"/>
                <w:bCs/>
                <w:sz w:val="28"/>
                <w:szCs w:val="28"/>
              </w:rPr>
            </w:pPr>
            <w:r>
              <w:rPr>
                <w:rFonts w:cs="Times New Roman"/>
                <w:sz w:val="24"/>
                <w:szCs w:val="24"/>
              </w:rPr>
              <w:t>58</w:t>
            </w:r>
          </w:p>
        </w:tc>
        <w:tc>
          <w:tcPr>
            <w:tcW w:w="850" w:type="dxa"/>
            <w:vAlign w:val="center"/>
          </w:tcPr>
          <w:p w14:paraId="6D00D08F" w14:textId="77777777" w:rsidR="001F2B4F" w:rsidRDefault="00000000">
            <w:pPr>
              <w:overflowPunct w:val="0"/>
              <w:adjustRightInd w:val="0"/>
              <w:snapToGrid w:val="0"/>
              <w:jc w:val="center"/>
              <w:rPr>
                <w:rFonts w:cs="Times New Roman"/>
                <w:sz w:val="24"/>
                <w:szCs w:val="24"/>
              </w:rPr>
            </w:pPr>
            <w:r>
              <w:rPr>
                <w:rFonts w:cs="Times New Roman" w:hint="eastAsia"/>
                <w:sz w:val="24"/>
                <w:szCs w:val="32"/>
              </w:rPr>
              <w:t>90</w:t>
            </w:r>
          </w:p>
        </w:tc>
        <w:tc>
          <w:tcPr>
            <w:tcW w:w="1182" w:type="dxa"/>
            <w:vAlign w:val="center"/>
          </w:tcPr>
          <w:p w14:paraId="534DF8AE"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r w:rsidR="001F2B4F" w14:paraId="2F36EF44" w14:textId="77777777">
        <w:trPr>
          <w:trHeight w:val="482"/>
          <w:jc w:val="center"/>
        </w:trPr>
        <w:tc>
          <w:tcPr>
            <w:tcW w:w="988" w:type="dxa"/>
            <w:vMerge/>
            <w:vAlign w:val="center"/>
          </w:tcPr>
          <w:p w14:paraId="42BE7238" w14:textId="77777777" w:rsidR="001F2B4F" w:rsidRDefault="001F2B4F">
            <w:pPr>
              <w:overflowPunct w:val="0"/>
              <w:adjustRightInd w:val="0"/>
              <w:snapToGrid w:val="0"/>
              <w:jc w:val="center"/>
              <w:rPr>
                <w:rFonts w:cs="Times New Roman"/>
                <w:sz w:val="24"/>
                <w:szCs w:val="32"/>
              </w:rPr>
            </w:pPr>
          </w:p>
        </w:tc>
        <w:tc>
          <w:tcPr>
            <w:tcW w:w="4536" w:type="dxa"/>
            <w:vAlign w:val="center"/>
          </w:tcPr>
          <w:p w14:paraId="1F309F7E" w14:textId="77777777" w:rsidR="001F2B4F" w:rsidRDefault="00000000">
            <w:pPr>
              <w:overflowPunct w:val="0"/>
              <w:adjustRightInd w:val="0"/>
              <w:snapToGrid w:val="0"/>
              <w:rPr>
                <w:rFonts w:cs="Times New Roman"/>
                <w:sz w:val="24"/>
                <w:szCs w:val="32"/>
              </w:rPr>
            </w:pPr>
            <w:r>
              <w:rPr>
                <w:rFonts w:cs="Times New Roman" w:hint="eastAsia"/>
                <w:sz w:val="24"/>
                <w:szCs w:val="32"/>
              </w:rPr>
              <w:t>会议型酒店房间数量（万间）</w:t>
            </w:r>
          </w:p>
        </w:tc>
        <w:tc>
          <w:tcPr>
            <w:tcW w:w="992" w:type="dxa"/>
            <w:vAlign w:val="center"/>
          </w:tcPr>
          <w:p w14:paraId="276373C0" w14:textId="77777777" w:rsidR="001F2B4F" w:rsidRDefault="00000000">
            <w:pPr>
              <w:overflowPunct w:val="0"/>
              <w:adjustRightInd w:val="0"/>
              <w:snapToGrid w:val="0"/>
              <w:jc w:val="center"/>
              <w:rPr>
                <w:rFonts w:cs="Times New Roman"/>
                <w:bCs/>
                <w:sz w:val="28"/>
                <w:szCs w:val="28"/>
              </w:rPr>
            </w:pPr>
            <w:r>
              <w:rPr>
                <w:rFonts w:cs="Times New Roman"/>
                <w:sz w:val="24"/>
                <w:szCs w:val="24"/>
              </w:rPr>
              <w:t>10</w:t>
            </w:r>
          </w:p>
        </w:tc>
        <w:tc>
          <w:tcPr>
            <w:tcW w:w="850" w:type="dxa"/>
            <w:vAlign w:val="center"/>
          </w:tcPr>
          <w:p w14:paraId="2D5C5176" w14:textId="77777777" w:rsidR="001F2B4F" w:rsidRDefault="00000000">
            <w:pPr>
              <w:overflowPunct w:val="0"/>
              <w:adjustRightInd w:val="0"/>
              <w:snapToGrid w:val="0"/>
              <w:jc w:val="center"/>
              <w:rPr>
                <w:rFonts w:cs="Times New Roman"/>
                <w:sz w:val="24"/>
                <w:szCs w:val="24"/>
              </w:rPr>
            </w:pPr>
            <w:r>
              <w:rPr>
                <w:rFonts w:cs="Times New Roman" w:hint="eastAsia"/>
                <w:sz w:val="24"/>
                <w:szCs w:val="32"/>
              </w:rPr>
              <w:t>15</w:t>
            </w:r>
          </w:p>
        </w:tc>
        <w:tc>
          <w:tcPr>
            <w:tcW w:w="1182" w:type="dxa"/>
            <w:vAlign w:val="center"/>
          </w:tcPr>
          <w:p w14:paraId="49ADE4FF" w14:textId="77777777" w:rsidR="001F2B4F" w:rsidRDefault="00000000">
            <w:pPr>
              <w:overflowPunct w:val="0"/>
              <w:adjustRightInd w:val="0"/>
              <w:snapToGrid w:val="0"/>
              <w:jc w:val="center"/>
              <w:rPr>
                <w:rFonts w:cs="Times New Roman"/>
                <w:bCs/>
                <w:sz w:val="28"/>
                <w:szCs w:val="28"/>
              </w:rPr>
            </w:pPr>
            <w:r>
              <w:rPr>
                <w:rFonts w:cs="Times New Roman" w:hint="eastAsia"/>
                <w:sz w:val="24"/>
                <w:szCs w:val="32"/>
              </w:rPr>
              <w:t>预期性</w:t>
            </w:r>
          </w:p>
        </w:tc>
      </w:tr>
    </w:tbl>
    <w:bookmarkEnd w:id="56"/>
    <w:bookmarkEnd w:id="57"/>
    <w:p w14:paraId="6985DB5E" w14:textId="77777777" w:rsidR="001F2B4F" w:rsidRDefault="00000000">
      <w:pPr>
        <w:overflowPunct w:val="0"/>
        <w:spacing w:line="579" w:lineRule="exact"/>
        <w:ind w:firstLineChars="200" w:firstLine="632"/>
        <w:rPr>
          <w:rFonts w:cs="楷体_GB2312"/>
          <w:bCs/>
          <w:szCs w:val="32"/>
        </w:rPr>
      </w:pPr>
      <w:r>
        <w:rPr>
          <w:rFonts w:eastAsia="方正楷体_GBK" w:cs="方正楷体_GBK"/>
          <w:szCs w:val="32"/>
          <w:lang w:val="zh-TW"/>
        </w:rPr>
        <w:t>2035</w:t>
      </w:r>
      <w:r>
        <w:rPr>
          <w:rFonts w:eastAsia="方正楷体_GBK" w:cs="方正楷体_GBK"/>
          <w:szCs w:val="32"/>
          <w:lang w:val="zh-TW"/>
        </w:rPr>
        <w:t>年远景目标</w:t>
      </w:r>
      <w:bookmarkEnd w:id="53"/>
      <w:r>
        <w:rPr>
          <w:rFonts w:eastAsia="方正楷体_GBK" w:cs="方正楷体_GBK" w:hint="eastAsia"/>
          <w:szCs w:val="32"/>
          <w:lang w:val="zh-TW"/>
        </w:rPr>
        <w:t>。</w:t>
      </w:r>
      <w:r>
        <w:rPr>
          <w:rFonts w:cs="楷体_GB2312"/>
          <w:bCs/>
          <w:szCs w:val="32"/>
        </w:rPr>
        <w:t>到</w:t>
      </w:r>
      <w:r>
        <w:rPr>
          <w:rFonts w:cs="楷体_GB2312"/>
          <w:bCs/>
          <w:szCs w:val="32"/>
        </w:rPr>
        <w:t>2035</w:t>
      </w:r>
      <w:r>
        <w:rPr>
          <w:rFonts w:cs="楷体_GB2312"/>
          <w:bCs/>
          <w:szCs w:val="32"/>
        </w:rPr>
        <w:t>年，</w:t>
      </w:r>
      <w:r>
        <w:rPr>
          <w:rFonts w:cs="楷体_GB2312" w:hint="eastAsia"/>
          <w:bCs/>
          <w:szCs w:val="32"/>
        </w:rPr>
        <w:t>形成结构合理、服务一流、国际领先的会展业生态体系，</w:t>
      </w:r>
      <w:proofErr w:type="gramStart"/>
      <w:r>
        <w:rPr>
          <w:rFonts w:cs="楷体_GB2312" w:hint="eastAsia"/>
          <w:bCs/>
          <w:szCs w:val="32"/>
        </w:rPr>
        <w:t>链主企业</w:t>
      </w:r>
      <w:proofErr w:type="gramEnd"/>
      <w:r>
        <w:rPr>
          <w:rFonts w:cs="楷体_GB2312" w:hint="eastAsia"/>
          <w:bCs/>
          <w:szCs w:val="32"/>
        </w:rPr>
        <w:t>国内一流，品牌</w:t>
      </w:r>
      <w:proofErr w:type="gramStart"/>
      <w:r>
        <w:rPr>
          <w:rFonts w:cs="楷体_GB2312" w:hint="eastAsia"/>
          <w:bCs/>
          <w:szCs w:val="32"/>
        </w:rPr>
        <w:t>提升成效</w:t>
      </w:r>
      <w:proofErr w:type="gramEnd"/>
      <w:r>
        <w:rPr>
          <w:rFonts w:cs="楷体_GB2312" w:hint="eastAsia"/>
          <w:bCs/>
          <w:szCs w:val="32"/>
        </w:rPr>
        <w:t>显著，会展影响力和综合竞争力全面增强，会展国际话语权和国</w:t>
      </w:r>
      <w:r>
        <w:rPr>
          <w:rFonts w:cs="楷体_GB2312" w:hint="eastAsia"/>
          <w:bCs/>
          <w:szCs w:val="32"/>
        </w:rPr>
        <w:lastRenderedPageBreak/>
        <w:t>际服务水平不断提升，持续助力建设</w:t>
      </w:r>
      <w:proofErr w:type="gramStart"/>
      <w:r>
        <w:rPr>
          <w:rFonts w:cs="楷体_GB2312"/>
          <w:bCs/>
          <w:szCs w:val="32"/>
        </w:rPr>
        <w:t>践行</w:t>
      </w:r>
      <w:proofErr w:type="gramEnd"/>
      <w:r>
        <w:rPr>
          <w:rFonts w:cs="楷体_GB2312"/>
          <w:bCs/>
          <w:szCs w:val="32"/>
        </w:rPr>
        <w:t>新发展理念的公园城市示范区</w:t>
      </w:r>
      <w:r>
        <w:rPr>
          <w:rFonts w:cs="楷体_GB2312" w:hint="eastAsia"/>
          <w:bCs/>
          <w:szCs w:val="32"/>
        </w:rPr>
        <w:t>、</w:t>
      </w:r>
      <w:r>
        <w:rPr>
          <w:rFonts w:cs="仿宋" w:hint="eastAsia"/>
          <w:bCs/>
          <w:szCs w:val="32"/>
        </w:rPr>
        <w:t>中国西部具有全球影响力和美誉度的现代化国际大都市</w:t>
      </w:r>
      <w:r>
        <w:rPr>
          <w:rFonts w:cs="楷体_GB2312" w:hint="eastAsia"/>
          <w:bCs/>
          <w:szCs w:val="32"/>
        </w:rPr>
        <w:t>。</w:t>
      </w:r>
    </w:p>
    <w:p w14:paraId="4F3D92EB" w14:textId="77777777" w:rsidR="001F2B4F" w:rsidRDefault="001F2B4F">
      <w:pPr>
        <w:pStyle w:val="a0"/>
        <w:overflowPunct w:val="0"/>
        <w:snapToGrid w:val="0"/>
        <w:spacing w:after="0" w:line="579" w:lineRule="exact"/>
        <w:ind w:firstLine="632"/>
      </w:pPr>
    </w:p>
    <w:p w14:paraId="083A1F2F" w14:textId="77777777" w:rsidR="001F2B4F" w:rsidRDefault="00000000">
      <w:pPr>
        <w:overflowPunct w:val="0"/>
        <w:autoSpaceDE w:val="0"/>
        <w:autoSpaceDN w:val="0"/>
        <w:adjustRightInd w:val="0"/>
        <w:snapToGrid w:val="0"/>
        <w:spacing w:line="584" w:lineRule="exact"/>
        <w:jc w:val="center"/>
        <w:outlineLvl w:val="0"/>
        <w:rPr>
          <w:rFonts w:ascii="方正小标宋_GBK" w:eastAsia="方正小标宋_GBK" w:hAnsi="方正小标宋_GBK" w:cs="方正黑体_GBK"/>
          <w:bCs/>
          <w:szCs w:val="32"/>
        </w:rPr>
      </w:pPr>
      <w:bookmarkStart w:id="59" w:name="_Toc78795967"/>
      <w:bookmarkStart w:id="60" w:name="_Toc65700532"/>
      <w:bookmarkStart w:id="61" w:name="_Toc78795995"/>
      <w:bookmarkStart w:id="62" w:name="_Toc93092573"/>
      <w:bookmarkStart w:id="63" w:name="_Toc96622377"/>
      <w:r>
        <w:rPr>
          <w:rFonts w:ascii="方正小标宋_GBK" w:eastAsia="方正小标宋_GBK" w:hAnsi="方正小标宋_GBK" w:cs="方正黑体_GBK" w:hint="eastAsia"/>
          <w:bCs/>
          <w:szCs w:val="32"/>
        </w:rPr>
        <w:t>第三章</w:t>
      </w:r>
      <w:bookmarkEnd w:id="31"/>
      <w:bookmarkEnd w:id="32"/>
      <w:bookmarkEnd w:id="33"/>
      <w:bookmarkEnd w:id="59"/>
      <w:bookmarkEnd w:id="60"/>
      <w:bookmarkEnd w:id="61"/>
      <w:r>
        <w:rPr>
          <w:rFonts w:ascii="方正小标宋_GBK" w:eastAsia="方正小标宋_GBK" w:hAnsi="方正小标宋_GBK" w:cs="方正黑体_GBK" w:hint="eastAsia"/>
          <w:bCs/>
          <w:szCs w:val="32"/>
        </w:rPr>
        <w:t xml:space="preserve">  </w:t>
      </w:r>
      <w:bookmarkEnd w:id="62"/>
      <w:r>
        <w:rPr>
          <w:rFonts w:ascii="方正小标宋_GBK" w:eastAsia="方正小标宋_GBK" w:hAnsi="方正小标宋_GBK" w:cs="方正黑体_GBK" w:hint="eastAsia"/>
          <w:bCs/>
          <w:szCs w:val="32"/>
        </w:rPr>
        <w:t>重点任务</w:t>
      </w:r>
      <w:bookmarkEnd w:id="63"/>
    </w:p>
    <w:p w14:paraId="38CB116F" w14:textId="77777777" w:rsidR="001F2B4F" w:rsidRDefault="001F2B4F">
      <w:pPr>
        <w:pStyle w:val="a0"/>
        <w:overflowPunct w:val="0"/>
        <w:snapToGrid w:val="0"/>
        <w:spacing w:after="0" w:line="584" w:lineRule="exact"/>
        <w:ind w:firstLine="632"/>
      </w:pPr>
    </w:p>
    <w:p w14:paraId="6168B47A" w14:textId="77777777" w:rsidR="001F2B4F" w:rsidRDefault="00000000">
      <w:pPr>
        <w:overflowPunct w:val="0"/>
        <w:adjustRightInd w:val="0"/>
        <w:snapToGrid w:val="0"/>
        <w:spacing w:line="584" w:lineRule="exact"/>
        <w:ind w:firstLineChars="200" w:firstLine="632"/>
        <w:rPr>
          <w:rFonts w:cs="楷体_GB2312"/>
          <w:bCs/>
          <w:szCs w:val="32"/>
        </w:rPr>
      </w:pPr>
      <w:r>
        <w:rPr>
          <w:rFonts w:cs="楷体_GB2312" w:hint="eastAsia"/>
          <w:bCs/>
          <w:szCs w:val="32"/>
        </w:rPr>
        <w:t>坚定不移建设国际门户枢纽，融入“一带一路”建设、服务新发展格局，持续增强极核主干引领带动作用，推动</w:t>
      </w:r>
      <w:proofErr w:type="gramStart"/>
      <w:r>
        <w:rPr>
          <w:rFonts w:cs="楷体_GB2312" w:hint="eastAsia"/>
          <w:bCs/>
          <w:szCs w:val="32"/>
        </w:rPr>
        <w:t>会展业提质</w:t>
      </w:r>
      <w:proofErr w:type="gramEnd"/>
      <w:r>
        <w:rPr>
          <w:rFonts w:cs="楷体_GB2312" w:hint="eastAsia"/>
          <w:bCs/>
          <w:szCs w:val="32"/>
        </w:rPr>
        <w:t>增效、支撑引领，聚力“建圈强链”，塑造产业新格局，构建产业新生态，培育产业新动能，推进数字会展和绿色会展，</w:t>
      </w:r>
      <w:proofErr w:type="gramStart"/>
      <w:r>
        <w:rPr>
          <w:rFonts w:cs="楷体_GB2312" w:hint="eastAsia"/>
          <w:bCs/>
          <w:szCs w:val="32"/>
        </w:rPr>
        <w:t>深入展产互</w:t>
      </w:r>
      <w:proofErr w:type="gramEnd"/>
      <w:r>
        <w:rPr>
          <w:rFonts w:cs="楷体_GB2312" w:hint="eastAsia"/>
          <w:bCs/>
          <w:szCs w:val="32"/>
        </w:rPr>
        <w:t>融互促，扩大国际开放合作，完善综合配套服务，促进会展高质量发展。</w:t>
      </w:r>
    </w:p>
    <w:p w14:paraId="08E08E68" w14:textId="77777777" w:rsidR="001F2B4F" w:rsidRDefault="00000000">
      <w:pPr>
        <w:overflowPunct w:val="0"/>
        <w:autoSpaceDE w:val="0"/>
        <w:autoSpaceDN w:val="0"/>
        <w:adjustRightInd w:val="0"/>
        <w:snapToGrid w:val="0"/>
        <w:spacing w:line="584" w:lineRule="exact"/>
        <w:jc w:val="center"/>
        <w:outlineLvl w:val="1"/>
        <w:rPr>
          <w:rFonts w:ascii="方正黑体_GBK" w:eastAsia="方正黑体_GBK" w:cs="宋体"/>
          <w:bCs/>
          <w:kern w:val="0"/>
          <w:szCs w:val="32"/>
          <w:lang w:val="zh-CN" w:bidi="zh-CN"/>
        </w:rPr>
      </w:pPr>
      <w:bookmarkStart w:id="64" w:name="_Hlk96349290"/>
      <w:bookmarkStart w:id="65" w:name="_Toc93092574"/>
      <w:bookmarkStart w:id="66" w:name="_Toc96622378"/>
      <w:bookmarkStart w:id="67" w:name="_Hlk96355778"/>
      <w:bookmarkStart w:id="68" w:name="_Toc96622379"/>
      <w:bookmarkStart w:id="69" w:name="_Toc93092575"/>
      <w:bookmarkStart w:id="70" w:name="_Toc78795997"/>
      <w:bookmarkStart w:id="71" w:name="_Toc65700534"/>
      <w:bookmarkStart w:id="72" w:name="_Toc78795969"/>
      <w:r>
        <w:rPr>
          <w:rFonts w:ascii="方正黑体_GBK" w:eastAsia="方正黑体_GBK" w:cs="宋体" w:hint="eastAsia"/>
          <w:bCs/>
          <w:kern w:val="0"/>
          <w:szCs w:val="32"/>
          <w:lang w:val="zh-CN" w:bidi="zh-CN"/>
        </w:rPr>
        <w:t>第一节</w:t>
      </w:r>
      <w:bookmarkEnd w:id="64"/>
      <w:r>
        <w:rPr>
          <w:rFonts w:ascii="方正黑体_GBK" w:eastAsia="方正黑体_GBK" w:cs="宋体" w:hint="eastAsia"/>
          <w:bCs/>
          <w:kern w:val="0"/>
          <w:szCs w:val="32"/>
          <w:lang w:val="zh-CN" w:bidi="zh-CN"/>
        </w:rPr>
        <w:t xml:space="preserve">  </w:t>
      </w:r>
      <w:bookmarkStart w:id="73" w:name="_Hlk96356061"/>
      <w:r>
        <w:rPr>
          <w:rFonts w:ascii="方正黑体_GBK" w:eastAsia="方正黑体_GBK" w:cs="宋体" w:hint="eastAsia"/>
          <w:bCs/>
          <w:kern w:val="0"/>
          <w:szCs w:val="32"/>
          <w:lang w:val="zh-CN" w:bidi="zh-CN"/>
        </w:rPr>
        <w:t>塑造会展业新格局</w:t>
      </w:r>
      <w:bookmarkEnd w:id="65"/>
      <w:bookmarkEnd w:id="66"/>
      <w:bookmarkEnd w:id="73"/>
    </w:p>
    <w:p w14:paraId="29C3D658" w14:textId="77777777" w:rsidR="001F2B4F" w:rsidRDefault="00000000">
      <w:pPr>
        <w:overflowPunct w:val="0"/>
        <w:adjustRightInd w:val="0"/>
        <w:snapToGrid w:val="0"/>
        <w:spacing w:line="584" w:lineRule="exact"/>
        <w:ind w:firstLineChars="200" w:firstLine="632"/>
        <w:rPr>
          <w:szCs w:val="32"/>
        </w:rPr>
      </w:pPr>
      <w:r>
        <w:rPr>
          <w:rFonts w:cs="楷体_GB2312" w:hint="eastAsia"/>
          <w:bCs/>
          <w:szCs w:val="32"/>
        </w:rPr>
        <w:t>以建设</w:t>
      </w:r>
      <w:proofErr w:type="gramStart"/>
      <w:r>
        <w:rPr>
          <w:rFonts w:cs="楷体_GB2312" w:hint="eastAsia"/>
          <w:bCs/>
          <w:szCs w:val="32"/>
        </w:rPr>
        <w:t>践行</w:t>
      </w:r>
      <w:proofErr w:type="gramEnd"/>
      <w:r>
        <w:rPr>
          <w:rFonts w:cs="楷体_GB2312" w:hint="eastAsia"/>
          <w:bCs/>
          <w:szCs w:val="32"/>
        </w:rPr>
        <w:t>新发展理念的公园城市示范区为统领，强化城市功能导向，以服务城市发展战略推动会展</w:t>
      </w:r>
      <w:proofErr w:type="gramStart"/>
      <w:r>
        <w:rPr>
          <w:rFonts w:cs="楷体_GB2312" w:hint="eastAsia"/>
          <w:bCs/>
          <w:szCs w:val="32"/>
        </w:rPr>
        <w:t>业核心</w:t>
      </w:r>
      <w:proofErr w:type="gramEnd"/>
      <w:r>
        <w:rPr>
          <w:rFonts w:cs="楷体_GB2312" w:hint="eastAsia"/>
          <w:bCs/>
          <w:szCs w:val="32"/>
        </w:rPr>
        <w:t>功能提升。</w:t>
      </w:r>
      <w:r>
        <w:rPr>
          <w:rFonts w:hint="eastAsia"/>
          <w:szCs w:val="32"/>
        </w:rPr>
        <w:t>优化全市会展业空间结构、高效配置要素资源、协同联动</w:t>
      </w:r>
      <w:r>
        <w:rPr>
          <w:rFonts w:cs="楷体_GB2312" w:hint="eastAsia"/>
          <w:bCs/>
          <w:szCs w:val="32"/>
        </w:rPr>
        <w:t>促进各</w:t>
      </w:r>
      <w:r>
        <w:rPr>
          <w:rFonts w:hint="eastAsia"/>
          <w:szCs w:val="32"/>
        </w:rPr>
        <w:t>区域核心功能相互支撑，</w:t>
      </w:r>
      <w:r>
        <w:rPr>
          <w:rFonts w:cs="Times New Roman" w:hint="eastAsia"/>
          <w:szCs w:val="32"/>
        </w:rPr>
        <w:t>构建</w:t>
      </w:r>
      <w:r>
        <w:rPr>
          <w:rFonts w:cs="Times New Roman" w:hint="eastAsia"/>
          <w:bCs/>
          <w:szCs w:val="32"/>
        </w:rPr>
        <w:t>“双核驱动引领、</w:t>
      </w:r>
      <w:bookmarkStart w:id="74" w:name="_Hlk109381435"/>
      <w:r>
        <w:rPr>
          <w:rFonts w:cs="Times New Roman" w:hint="eastAsia"/>
          <w:bCs/>
          <w:szCs w:val="32"/>
        </w:rPr>
        <w:t>四大</w:t>
      </w:r>
      <w:bookmarkEnd w:id="74"/>
      <w:r>
        <w:rPr>
          <w:rFonts w:cs="Times New Roman" w:hint="eastAsia"/>
          <w:bCs/>
          <w:szCs w:val="32"/>
        </w:rPr>
        <w:t>特色助力、全域协同发展”</w:t>
      </w:r>
      <w:r>
        <w:rPr>
          <w:rFonts w:cs="Times New Roman" w:hint="eastAsia"/>
          <w:szCs w:val="32"/>
        </w:rPr>
        <w:t>的</w:t>
      </w:r>
      <w:r>
        <w:rPr>
          <w:rFonts w:cs="Times New Roman" w:hint="eastAsia"/>
          <w:bCs/>
          <w:szCs w:val="32"/>
        </w:rPr>
        <w:t>“</w:t>
      </w:r>
      <w:r>
        <w:rPr>
          <w:rFonts w:cs="Times New Roman" w:hint="eastAsia"/>
          <w:bCs/>
          <w:szCs w:val="32"/>
        </w:rPr>
        <w:t>2</w:t>
      </w:r>
      <w:r>
        <w:rPr>
          <w:rFonts w:cs="Times New Roman"/>
          <w:bCs/>
          <w:szCs w:val="32"/>
        </w:rPr>
        <w:t>+4+N</w:t>
      </w:r>
      <w:r>
        <w:rPr>
          <w:rFonts w:cs="Times New Roman" w:hint="eastAsia"/>
          <w:bCs/>
          <w:szCs w:val="32"/>
        </w:rPr>
        <w:t>”</w:t>
      </w:r>
      <w:r>
        <w:rPr>
          <w:rFonts w:cs="Times New Roman" w:hint="eastAsia"/>
          <w:szCs w:val="32"/>
        </w:rPr>
        <w:t>会展业发展新格局，</w:t>
      </w:r>
      <w:r>
        <w:rPr>
          <w:rFonts w:hint="eastAsia"/>
          <w:szCs w:val="32"/>
        </w:rPr>
        <w:t>形成特色功能优势，</w:t>
      </w:r>
      <w:r>
        <w:rPr>
          <w:rFonts w:cs="Times New Roman" w:hint="eastAsia"/>
          <w:szCs w:val="32"/>
        </w:rPr>
        <w:t>服务中心城区、城市新区、郊区新城</w:t>
      </w:r>
      <w:proofErr w:type="gramStart"/>
      <w:r>
        <w:rPr>
          <w:rFonts w:cs="Times New Roman" w:hint="eastAsia"/>
          <w:szCs w:val="32"/>
        </w:rPr>
        <w:t>做优做</w:t>
      </w:r>
      <w:proofErr w:type="gramEnd"/>
      <w:r>
        <w:rPr>
          <w:rFonts w:cs="Times New Roman" w:hint="eastAsia"/>
          <w:szCs w:val="32"/>
        </w:rPr>
        <w:t>强。</w:t>
      </w:r>
    </w:p>
    <w:p w14:paraId="5902A809" w14:textId="77777777" w:rsidR="001F2B4F" w:rsidRDefault="00000000">
      <w:pPr>
        <w:overflowPunct w:val="0"/>
        <w:adjustRightInd w:val="0"/>
        <w:snapToGrid w:val="0"/>
        <w:spacing w:line="584" w:lineRule="exact"/>
        <w:ind w:firstLineChars="200" w:firstLine="632"/>
        <w:rPr>
          <w:szCs w:val="32"/>
        </w:rPr>
      </w:pPr>
      <w:r>
        <w:rPr>
          <w:rFonts w:eastAsia="方正楷体_GBK" w:cs="方正楷体_GBK" w:hint="eastAsia"/>
          <w:szCs w:val="32"/>
          <w:lang w:val="zh-TW"/>
        </w:rPr>
        <w:t>双核驱动引领。</w:t>
      </w:r>
      <w:r>
        <w:rPr>
          <w:rFonts w:hint="eastAsia"/>
          <w:szCs w:val="32"/>
        </w:rPr>
        <w:t>强化“牵引带动”，</w:t>
      </w:r>
      <w:r>
        <w:rPr>
          <w:rFonts w:cs="Times New Roman" w:hint="eastAsia"/>
          <w:szCs w:val="32"/>
        </w:rPr>
        <w:t>以四川天府新区和成都高新区为“双核”，发挥两大</w:t>
      </w:r>
      <w:r>
        <w:rPr>
          <w:rFonts w:hint="eastAsia"/>
          <w:szCs w:val="32"/>
        </w:rPr>
        <w:t>专业场馆优势，聚焦</w:t>
      </w:r>
      <w:proofErr w:type="gramStart"/>
      <w:r>
        <w:rPr>
          <w:rFonts w:hint="eastAsia"/>
          <w:szCs w:val="32"/>
        </w:rPr>
        <w:t>做优做</w:t>
      </w:r>
      <w:proofErr w:type="gramEnd"/>
      <w:r>
        <w:rPr>
          <w:rFonts w:hint="eastAsia"/>
          <w:szCs w:val="32"/>
        </w:rPr>
        <w:t>强会展创新策源、资源整合、产业集聚等核心功能，加快形成优势互补、联</w:t>
      </w:r>
      <w:r>
        <w:rPr>
          <w:rFonts w:hint="eastAsia"/>
          <w:szCs w:val="32"/>
        </w:rPr>
        <w:lastRenderedPageBreak/>
        <w:t>动发展格局，打造会展高质量发展的动力引擎</w:t>
      </w:r>
      <w:r>
        <w:rPr>
          <w:rFonts w:cs="Times New Roman" w:hint="eastAsia"/>
          <w:szCs w:val="32"/>
        </w:rPr>
        <w:t>。</w:t>
      </w:r>
      <w:r>
        <w:rPr>
          <w:rFonts w:hint="eastAsia"/>
          <w:bCs/>
          <w:szCs w:val="32"/>
        </w:rPr>
        <w:t>四川天府新区</w:t>
      </w:r>
      <w:r>
        <w:rPr>
          <w:rFonts w:hint="eastAsia"/>
          <w:szCs w:val="32"/>
        </w:rPr>
        <w:t>充分发挥中国西部国际博览城“展会一体”重大平台优势，推动</w:t>
      </w:r>
      <w:proofErr w:type="gramStart"/>
      <w:r>
        <w:rPr>
          <w:rFonts w:hint="eastAsia"/>
          <w:szCs w:val="32"/>
        </w:rPr>
        <w:t>场馆低碳化</w:t>
      </w:r>
      <w:proofErr w:type="gramEnd"/>
      <w:r>
        <w:rPr>
          <w:rFonts w:hint="eastAsia"/>
          <w:szCs w:val="32"/>
        </w:rPr>
        <w:t>、智慧化升级，</w:t>
      </w:r>
      <w:proofErr w:type="gramStart"/>
      <w:r>
        <w:rPr>
          <w:rFonts w:hint="eastAsia"/>
          <w:szCs w:val="32"/>
        </w:rPr>
        <w:t>引培高</w:t>
      </w:r>
      <w:proofErr w:type="gramEnd"/>
      <w:r>
        <w:rPr>
          <w:rFonts w:hint="eastAsia"/>
          <w:szCs w:val="32"/>
        </w:rPr>
        <w:t>能级、国际化、专业化的会展活动，加快完善保税展销中心、高端会议酒店集群等配套设施，提质打造西博城商圈，营造多元会展消费场景，做强“会展创新发展引领区”，打造国际展览新高地和全球会议目的地。</w:t>
      </w:r>
      <w:bookmarkStart w:id="75" w:name="_Hlk93927433"/>
      <w:r>
        <w:rPr>
          <w:rFonts w:cs="Times New Roman" w:hint="eastAsia"/>
          <w:bCs/>
          <w:szCs w:val="32"/>
          <w:shd w:val="clear" w:color="auto" w:fill="FFFFFF"/>
        </w:rPr>
        <w:t>成都高新区</w:t>
      </w:r>
      <w:bookmarkEnd w:id="75"/>
      <w:r>
        <w:rPr>
          <w:rFonts w:cs="Times New Roman" w:hint="eastAsia"/>
          <w:szCs w:val="32"/>
          <w:shd w:val="clear" w:color="auto" w:fill="FFFFFF"/>
        </w:rPr>
        <w:t>加快推动成都世纪城新国际会展中心智慧化升级，依托人工智能与</w:t>
      </w:r>
      <w:r>
        <w:rPr>
          <w:rFonts w:cs="Times New Roman" w:hint="eastAsia"/>
          <w:szCs w:val="32"/>
          <w:shd w:val="clear" w:color="auto" w:fill="FFFFFF"/>
        </w:rPr>
        <w:t>5G</w:t>
      </w:r>
      <w:r>
        <w:rPr>
          <w:rFonts w:cs="Times New Roman" w:hint="eastAsia"/>
          <w:szCs w:val="32"/>
          <w:shd w:val="clear" w:color="auto" w:fill="FFFFFF"/>
        </w:rPr>
        <w:t>、集成电路、智能终端、区块链及金融科技等产业领域优势，打造国际高新技术展会首选地。</w:t>
      </w:r>
    </w:p>
    <w:p w14:paraId="55F558B4" w14:textId="77777777" w:rsidR="001F2B4F" w:rsidRDefault="00000000">
      <w:pPr>
        <w:overflowPunct w:val="0"/>
        <w:adjustRightInd w:val="0"/>
        <w:snapToGrid w:val="0"/>
        <w:spacing w:line="584" w:lineRule="exact"/>
        <w:ind w:firstLineChars="200" w:firstLine="632"/>
        <w:rPr>
          <w:szCs w:val="32"/>
        </w:rPr>
      </w:pPr>
      <w:r>
        <w:rPr>
          <w:rFonts w:eastAsia="方正楷体_GBK" w:cs="方正楷体_GBK" w:hint="eastAsia"/>
          <w:szCs w:val="32"/>
          <w:lang w:val="zh-TW"/>
        </w:rPr>
        <w:t>四大特色助力。</w:t>
      </w:r>
      <w:r>
        <w:rPr>
          <w:rFonts w:cs="Times New Roman" w:hint="eastAsia"/>
          <w:szCs w:val="32"/>
        </w:rPr>
        <w:t>依托重点区域和特色产业，聚焦</w:t>
      </w:r>
      <w:proofErr w:type="gramStart"/>
      <w:r>
        <w:rPr>
          <w:rFonts w:cs="Times New Roman" w:hint="eastAsia"/>
          <w:szCs w:val="32"/>
        </w:rPr>
        <w:t>做优做</w:t>
      </w:r>
      <w:proofErr w:type="gramEnd"/>
      <w:r>
        <w:rPr>
          <w:rFonts w:cs="Times New Roman" w:hint="eastAsia"/>
          <w:szCs w:val="32"/>
        </w:rPr>
        <w:t>强航空枢纽、运动赛事、会奖旅游、特色农业四大特色，着力加强会展创新能力，推动会展功能差异化提升，增强会展竞争力和带动力。</w:t>
      </w:r>
      <w:r>
        <w:rPr>
          <w:rFonts w:cs="Times New Roman" w:hint="eastAsia"/>
          <w:bCs/>
          <w:szCs w:val="32"/>
          <w:shd w:val="clear" w:color="auto" w:fill="FFFFFF"/>
        </w:rPr>
        <w:t>聚焦航空枢纽，成都东部新区</w:t>
      </w:r>
      <w:r>
        <w:rPr>
          <w:rFonts w:cs="Times New Roman" w:hint="eastAsia"/>
          <w:szCs w:val="32"/>
          <w:shd w:val="clear" w:color="auto" w:fill="FFFFFF"/>
        </w:rPr>
        <w:t>加快建设国际</w:t>
      </w:r>
      <w:proofErr w:type="gramStart"/>
      <w:r>
        <w:rPr>
          <w:rFonts w:cs="Times New Roman" w:hint="eastAsia"/>
          <w:szCs w:val="32"/>
          <w:shd w:val="clear" w:color="auto" w:fill="FFFFFF"/>
        </w:rPr>
        <w:t>会都岛载体</w:t>
      </w:r>
      <w:proofErr w:type="gramEnd"/>
      <w:r>
        <w:rPr>
          <w:rFonts w:cs="Times New Roman" w:hint="eastAsia"/>
          <w:szCs w:val="32"/>
          <w:shd w:val="clear" w:color="auto" w:fill="FFFFFF"/>
        </w:rPr>
        <w:t>支撑，依托天府国际机场和空港综合保税区“区港一体化”优势，汇聚全球供应</w:t>
      </w:r>
      <w:proofErr w:type="gramStart"/>
      <w:r>
        <w:rPr>
          <w:rFonts w:cs="Times New Roman" w:hint="eastAsia"/>
          <w:szCs w:val="32"/>
          <w:shd w:val="clear" w:color="auto" w:fill="FFFFFF"/>
        </w:rPr>
        <w:t>链资源</w:t>
      </w:r>
      <w:proofErr w:type="gramEnd"/>
      <w:r>
        <w:rPr>
          <w:rFonts w:cs="Times New Roman" w:hint="eastAsia"/>
          <w:szCs w:val="32"/>
          <w:shd w:val="clear" w:color="auto" w:fill="FFFFFF"/>
        </w:rPr>
        <w:t>要素，加强与国内国际</w:t>
      </w:r>
      <w:proofErr w:type="gramStart"/>
      <w:r>
        <w:rPr>
          <w:rFonts w:cs="Times New Roman" w:hint="eastAsia"/>
          <w:szCs w:val="32"/>
          <w:shd w:val="clear" w:color="auto" w:fill="FFFFFF"/>
        </w:rPr>
        <w:t>知名会议</w:t>
      </w:r>
      <w:proofErr w:type="gramEnd"/>
      <w:r>
        <w:rPr>
          <w:rFonts w:cs="Times New Roman" w:hint="eastAsia"/>
          <w:szCs w:val="32"/>
          <w:shd w:val="clear" w:color="auto" w:fill="FFFFFF"/>
        </w:rPr>
        <w:t>展览组织开展合作，打造世界知名的国际交往中心；双流区依托打造国际航空枢纽和空域资源释放的“双重契机”，加强与法国航空航天协会等全球著名航展机构合作，吸引全球航空经济头部企业加速聚集，加快建设空港商务展示展销综</w:t>
      </w:r>
      <w:r>
        <w:rPr>
          <w:rFonts w:cs="Arial" w:hint="eastAsia"/>
          <w:szCs w:val="32"/>
          <w:shd w:val="clear" w:color="auto" w:fill="FFFFFF"/>
        </w:rPr>
        <w:t>合体，健全场馆周边配套设施，打造国际航展新高地；</w:t>
      </w:r>
      <w:r>
        <w:rPr>
          <w:rFonts w:cs="Times New Roman" w:hint="eastAsia"/>
          <w:szCs w:val="32"/>
          <w:shd w:val="clear" w:color="auto" w:fill="FFFFFF"/>
        </w:rPr>
        <w:t>金堂县</w:t>
      </w:r>
      <w:r>
        <w:rPr>
          <w:rFonts w:cs="Times New Roman" w:hint="eastAsia"/>
          <w:bCs/>
          <w:szCs w:val="32"/>
          <w:shd w:val="clear" w:color="auto" w:fill="FFFFFF"/>
        </w:rPr>
        <w:t>依托淮州新城、成都现代农业装备产业园和</w:t>
      </w:r>
      <w:proofErr w:type="gramStart"/>
      <w:r>
        <w:rPr>
          <w:rFonts w:cs="Arial" w:hint="eastAsia"/>
          <w:szCs w:val="32"/>
          <w:shd w:val="clear" w:color="auto" w:fill="FFFFFF"/>
        </w:rPr>
        <w:t>淮州</w:t>
      </w:r>
      <w:proofErr w:type="gramEnd"/>
      <w:r>
        <w:rPr>
          <w:rFonts w:cs="Arial" w:hint="eastAsia"/>
          <w:szCs w:val="32"/>
          <w:shd w:val="clear" w:color="auto" w:fill="FFFFFF"/>
        </w:rPr>
        <w:t>新城国际会展中心，打造“通用航空</w:t>
      </w:r>
      <w:r>
        <w:rPr>
          <w:rFonts w:cs="Arial" w:hint="eastAsia"/>
          <w:szCs w:val="32"/>
          <w:shd w:val="clear" w:color="auto" w:fill="FFFFFF"/>
        </w:rPr>
        <w:t>+</w:t>
      </w:r>
      <w:r>
        <w:rPr>
          <w:rFonts w:cs="Arial" w:hint="eastAsia"/>
          <w:szCs w:val="32"/>
          <w:shd w:val="clear" w:color="auto" w:fill="FFFFFF"/>
        </w:rPr>
        <w:t>农业装备”会展集</w:t>
      </w:r>
      <w:r>
        <w:rPr>
          <w:rFonts w:cs="Arial" w:hint="eastAsia"/>
          <w:szCs w:val="32"/>
          <w:shd w:val="clear" w:color="auto" w:fill="FFFFFF"/>
        </w:rPr>
        <w:lastRenderedPageBreak/>
        <w:t>聚地。</w:t>
      </w:r>
      <w:r>
        <w:rPr>
          <w:rFonts w:cs="Times New Roman" w:hint="eastAsia"/>
          <w:bCs/>
          <w:szCs w:val="32"/>
          <w:shd w:val="clear" w:color="auto" w:fill="FFFFFF"/>
        </w:rPr>
        <w:t>聚焦运动赛事，</w:t>
      </w:r>
      <w:r>
        <w:rPr>
          <w:rFonts w:cs="Times New Roman" w:hint="eastAsia"/>
          <w:bCs/>
          <w:shd w:val="clear" w:color="auto" w:fill="FFFFFF"/>
        </w:rPr>
        <w:t>龙泉</w:t>
      </w:r>
      <w:proofErr w:type="gramStart"/>
      <w:r>
        <w:rPr>
          <w:rFonts w:cs="Times New Roman" w:hint="eastAsia"/>
          <w:bCs/>
          <w:shd w:val="clear" w:color="auto" w:fill="FFFFFF"/>
        </w:rPr>
        <w:t>驿</w:t>
      </w:r>
      <w:proofErr w:type="gramEnd"/>
      <w:r>
        <w:rPr>
          <w:rFonts w:cs="Times New Roman" w:hint="eastAsia"/>
          <w:bCs/>
          <w:shd w:val="clear" w:color="auto" w:fill="FFFFFF"/>
        </w:rPr>
        <w:t>区</w:t>
      </w:r>
      <w:r>
        <w:rPr>
          <w:rStyle w:val="a4"/>
          <w:rFonts w:hint="eastAsia"/>
        </w:rPr>
        <w:t>加强以东安湖体育公园“一场三馆”为代表的赛会载体的赛后综合利用，完善区域会展配套服务设施，积极承办体育行业专业展会，打造全国“体育</w:t>
      </w:r>
      <w:r>
        <w:rPr>
          <w:rStyle w:val="a4"/>
          <w:rFonts w:hint="eastAsia"/>
        </w:rPr>
        <w:t>+</w:t>
      </w:r>
      <w:r>
        <w:rPr>
          <w:rStyle w:val="a4"/>
          <w:rFonts w:hint="eastAsia"/>
        </w:rPr>
        <w:t>”展会承载地</w:t>
      </w:r>
      <w:r>
        <w:rPr>
          <w:rFonts w:cs="Times New Roman" w:hint="eastAsia"/>
          <w:szCs w:val="32"/>
        </w:rPr>
        <w:t>；</w:t>
      </w:r>
      <w:r>
        <w:rPr>
          <w:rFonts w:cs="Times New Roman" w:hint="eastAsia"/>
          <w:bCs/>
          <w:szCs w:val="32"/>
          <w:shd w:val="clear" w:color="auto" w:fill="FFFFFF"/>
        </w:rPr>
        <w:t>金牛区</w:t>
      </w:r>
      <w:r>
        <w:rPr>
          <w:rFonts w:cs="Times New Roman" w:hint="eastAsia"/>
          <w:szCs w:val="32"/>
        </w:rPr>
        <w:t>依托凤凰山体育公园、城北体育馆等体育场馆</w:t>
      </w:r>
      <w:proofErr w:type="gramStart"/>
      <w:r>
        <w:rPr>
          <w:rFonts w:cs="Times New Roman" w:hint="eastAsia"/>
          <w:szCs w:val="32"/>
        </w:rPr>
        <w:t>和亚舞联</w:t>
      </w:r>
      <w:proofErr w:type="gramEnd"/>
      <w:r>
        <w:rPr>
          <w:rFonts w:cs="Times New Roman" w:hint="eastAsia"/>
          <w:szCs w:val="32"/>
        </w:rPr>
        <w:t>等国际组织，精心承办大运会、世运会、亚洲体育舞蹈锦标赛等国际品牌赛事，打造国际</w:t>
      </w:r>
      <w:proofErr w:type="gramStart"/>
      <w:r>
        <w:rPr>
          <w:rFonts w:cs="Times New Roman" w:hint="eastAsia"/>
          <w:szCs w:val="32"/>
        </w:rPr>
        <w:t>品牌赛事</w:t>
      </w:r>
      <w:proofErr w:type="gramEnd"/>
      <w:r>
        <w:rPr>
          <w:rFonts w:cs="Times New Roman" w:hint="eastAsia"/>
          <w:szCs w:val="32"/>
        </w:rPr>
        <w:t>承载地</w:t>
      </w:r>
      <w:bookmarkStart w:id="76" w:name="_Hlk109398005"/>
      <w:r>
        <w:rPr>
          <w:rStyle w:val="a4"/>
          <w:rFonts w:hint="eastAsia"/>
        </w:rPr>
        <w:t>。</w:t>
      </w:r>
      <w:r>
        <w:rPr>
          <w:rFonts w:cs="Times New Roman" w:hint="eastAsia"/>
          <w:bCs/>
          <w:szCs w:val="32"/>
          <w:shd w:val="clear" w:color="auto" w:fill="FFFFFF"/>
        </w:rPr>
        <w:t>聚焦会奖旅游，都江堰市</w:t>
      </w:r>
      <w:r>
        <w:rPr>
          <w:rFonts w:cs="Arial" w:hint="eastAsia"/>
          <w:szCs w:val="32"/>
          <w:shd w:val="clear" w:color="auto" w:fill="FFFFFF"/>
        </w:rPr>
        <w:t>依托生态环境和</w:t>
      </w:r>
      <w:proofErr w:type="gramStart"/>
      <w:r>
        <w:rPr>
          <w:rFonts w:cs="Arial" w:hint="eastAsia"/>
          <w:szCs w:val="32"/>
          <w:shd w:val="clear" w:color="auto" w:fill="FFFFFF"/>
        </w:rPr>
        <w:t>文旅</w:t>
      </w:r>
      <w:proofErr w:type="gramEnd"/>
      <w:r>
        <w:rPr>
          <w:rFonts w:cs="Arial" w:hint="eastAsia"/>
          <w:szCs w:val="32"/>
          <w:shd w:val="clear" w:color="auto" w:fill="FFFFFF"/>
        </w:rPr>
        <w:t>资源优势，高水平举办一批国际学术会议、企业商务会议、精品文创展会等，不断提升国际化服务水平，打造高端会</w:t>
      </w:r>
      <w:proofErr w:type="gramStart"/>
      <w:r>
        <w:rPr>
          <w:rFonts w:cs="Arial" w:hint="eastAsia"/>
          <w:szCs w:val="32"/>
          <w:shd w:val="clear" w:color="auto" w:fill="FFFFFF"/>
        </w:rPr>
        <w:t>奖旅游</w:t>
      </w:r>
      <w:proofErr w:type="gramEnd"/>
      <w:r>
        <w:rPr>
          <w:rFonts w:cs="Arial" w:hint="eastAsia"/>
          <w:szCs w:val="32"/>
          <w:shd w:val="clear" w:color="auto" w:fill="FFFFFF"/>
        </w:rPr>
        <w:t>目的地；</w:t>
      </w:r>
      <w:r>
        <w:rPr>
          <w:rFonts w:cs="Times New Roman" w:hint="eastAsia"/>
          <w:szCs w:val="32"/>
          <w:shd w:val="clear" w:color="auto" w:fill="FFFFFF"/>
        </w:rPr>
        <w:t>大邑县</w:t>
      </w:r>
      <w:r>
        <w:rPr>
          <w:rFonts w:cs="Arial" w:hint="eastAsia"/>
          <w:szCs w:val="32"/>
          <w:shd w:val="clear" w:color="auto" w:fill="FFFFFF"/>
        </w:rPr>
        <w:t>依托安仁·大邑博物馆特色小镇、华侨创意文化园、</w:t>
      </w:r>
      <w:proofErr w:type="gramStart"/>
      <w:r>
        <w:rPr>
          <w:rFonts w:cs="Arial" w:hint="eastAsia"/>
          <w:szCs w:val="32"/>
          <w:shd w:val="clear" w:color="auto" w:fill="FFFFFF"/>
        </w:rPr>
        <w:t>南岸美</w:t>
      </w:r>
      <w:proofErr w:type="gramEnd"/>
      <w:r>
        <w:rPr>
          <w:rFonts w:cs="Arial" w:hint="eastAsia"/>
          <w:szCs w:val="32"/>
          <w:shd w:val="clear" w:color="auto" w:fill="FFFFFF"/>
        </w:rPr>
        <w:t>村等会展设施及产业园区，积极探索“会展</w:t>
      </w:r>
      <w:r>
        <w:rPr>
          <w:rFonts w:cs="Arial" w:hint="eastAsia"/>
          <w:szCs w:val="32"/>
          <w:shd w:val="clear" w:color="auto" w:fill="FFFFFF"/>
        </w:rPr>
        <w:t>+</w:t>
      </w:r>
      <w:r>
        <w:rPr>
          <w:rFonts w:cs="Arial" w:hint="eastAsia"/>
          <w:szCs w:val="32"/>
          <w:shd w:val="clear" w:color="auto" w:fill="FFFFFF"/>
        </w:rPr>
        <w:t>文博”模式，着力打造“小而精、新奇特”品牌展会，打造具有东方韵味的会</w:t>
      </w:r>
      <w:proofErr w:type="gramStart"/>
      <w:r>
        <w:rPr>
          <w:rFonts w:cs="Arial" w:hint="eastAsia"/>
          <w:szCs w:val="32"/>
          <w:shd w:val="clear" w:color="auto" w:fill="FFFFFF"/>
        </w:rPr>
        <w:t>奖旅游</w:t>
      </w:r>
      <w:proofErr w:type="gramEnd"/>
      <w:r>
        <w:rPr>
          <w:rFonts w:cs="Arial" w:hint="eastAsia"/>
          <w:szCs w:val="32"/>
          <w:shd w:val="clear" w:color="auto" w:fill="FFFFFF"/>
        </w:rPr>
        <w:t>目的地。</w:t>
      </w:r>
      <w:bookmarkEnd w:id="76"/>
      <w:r>
        <w:rPr>
          <w:rFonts w:cs="Times New Roman" w:hint="eastAsia"/>
          <w:bCs/>
          <w:szCs w:val="32"/>
          <w:shd w:val="clear" w:color="auto" w:fill="FFFFFF"/>
        </w:rPr>
        <w:t>聚焦特色农业，新津区</w:t>
      </w:r>
      <w:r>
        <w:rPr>
          <w:rFonts w:hint="eastAsia"/>
          <w:szCs w:val="32"/>
        </w:rPr>
        <w:t>围绕农博引领与乡村振兴，以数字科技赋能会展发展，推动“会展</w:t>
      </w:r>
      <w:r>
        <w:rPr>
          <w:rFonts w:hint="eastAsia"/>
          <w:szCs w:val="32"/>
        </w:rPr>
        <w:t>+</w:t>
      </w:r>
      <w:r>
        <w:rPr>
          <w:rFonts w:hint="eastAsia"/>
          <w:szCs w:val="32"/>
        </w:rPr>
        <w:t>农业”“会展</w:t>
      </w:r>
      <w:r>
        <w:rPr>
          <w:rFonts w:hint="eastAsia"/>
          <w:szCs w:val="32"/>
        </w:rPr>
        <w:t>+</w:t>
      </w:r>
      <w:r>
        <w:rPr>
          <w:rFonts w:hint="eastAsia"/>
          <w:szCs w:val="32"/>
        </w:rPr>
        <w:t>商贸”“会展</w:t>
      </w:r>
      <w:r>
        <w:rPr>
          <w:rFonts w:hint="eastAsia"/>
          <w:szCs w:val="32"/>
        </w:rPr>
        <w:t>+</w:t>
      </w:r>
      <w:r>
        <w:rPr>
          <w:rFonts w:hint="eastAsia"/>
          <w:szCs w:val="32"/>
        </w:rPr>
        <w:t>旅游”“会展</w:t>
      </w:r>
      <w:r>
        <w:rPr>
          <w:rFonts w:hint="eastAsia"/>
          <w:szCs w:val="32"/>
        </w:rPr>
        <w:t>+</w:t>
      </w:r>
      <w:r>
        <w:rPr>
          <w:rFonts w:hint="eastAsia"/>
          <w:szCs w:val="32"/>
        </w:rPr>
        <w:t>数智”等融合发展，打造国际农</w:t>
      </w:r>
      <w:proofErr w:type="gramStart"/>
      <w:r>
        <w:rPr>
          <w:rFonts w:hint="eastAsia"/>
          <w:szCs w:val="32"/>
        </w:rPr>
        <w:t>博展贸新</w:t>
      </w:r>
      <w:proofErr w:type="gramEnd"/>
      <w:r>
        <w:rPr>
          <w:rFonts w:hint="eastAsia"/>
          <w:szCs w:val="32"/>
        </w:rPr>
        <w:t>平台、全球农</w:t>
      </w:r>
      <w:proofErr w:type="gramStart"/>
      <w:r>
        <w:rPr>
          <w:rFonts w:hint="eastAsia"/>
          <w:szCs w:val="32"/>
        </w:rPr>
        <w:t>博交流</w:t>
      </w:r>
      <w:proofErr w:type="gramEnd"/>
      <w:r>
        <w:rPr>
          <w:rFonts w:hint="eastAsia"/>
          <w:szCs w:val="32"/>
        </w:rPr>
        <w:t>新高地；</w:t>
      </w:r>
      <w:r>
        <w:rPr>
          <w:rFonts w:cs="Times New Roman" w:hint="eastAsia"/>
          <w:szCs w:val="32"/>
        </w:rPr>
        <w:t>崇州市依托优质粮油、崇州枇杷茶、乡村旅游等产业基础，推动崇州都市农业产业功能区和</w:t>
      </w:r>
      <w:proofErr w:type="gramStart"/>
      <w:r>
        <w:rPr>
          <w:rFonts w:cs="Times New Roman" w:hint="eastAsia"/>
          <w:szCs w:val="32"/>
        </w:rPr>
        <w:t>竹艺</w:t>
      </w:r>
      <w:proofErr w:type="gramEnd"/>
      <w:r>
        <w:rPr>
          <w:rFonts w:cs="Times New Roman" w:hint="eastAsia"/>
          <w:szCs w:val="32"/>
        </w:rPr>
        <w:t>村、中</w:t>
      </w:r>
      <w:proofErr w:type="gramStart"/>
      <w:r>
        <w:rPr>
          <w:rFonts w:cs="Times New Roman" w:hint="eastAsia"/>
          <w:szCs w:val="32"/>
        </w:rPr>
        <w:t>胜酒店</w:t>
      </w:r>
      <w:proofErr w:type="gramEnd"/>
      <w:r>
        <w:rPr>
          <w:rFonts w:cs="Times New Roman" w:hint="eastAsia"/>
          <w:szCs w:val="32"/>
        </w:rPr>
        <w:t>等会展相关载体改造升级，完善周边设施，推动会展与农业等融合发展，打造特色农业展会创新地。</w:t>
      </w:r>
    </w:p>
    <w:p w14:paraId="4058DFC3" w14:textId="77777777" w:rsidR="001F2B4F" w:rsidRDefault="00000000">
      <w:pPr>
        <w:overflowPunct w:val="0"/>
        <w:adjustRightInd w:val="0"/>
        <w:snapToGrid w:val="0"/>
        <w:spacing w:line="584" w:lineRule="exact"/>
        <w:ind w:firstLineChars="200" w:firstLine="632"/>
        <w:rPr>
          <w:rFonts w:cs="Times New Roman"/>
          <w:bCs/>
          <w:szCs w:val="32"/>
          <w:shd w:val="clear" w:color="auto" w:fill="FFFFFF"/>
        </w:rPr>
      </w:pPr>
      <w:r>
        <w:rPr>
          <w:rFonts w:eastAsia="方正楷体_GBK" w:cs="方正楷体_GBK" w:hint="eastAsia"/>
          <w:szCs w:val="32"/>
          <w:lang w:val="zh-TW"/>
        </w:rPr>
        <w:t>全域协同发展。</w:t>
      </w:r>
      <w:r>
        <w:rPr>
          <w:rFonts w:cs="Times New Roman" w:hint="eastAsia"/>
          <w:szCs w:val="32"/>
        </w:rPr>
        <w:t>依托区域资源和重点产业链，围绕更好接续双核及四大特色的会展发展势能，</w:t>
      </w:r>
      <w:proofErr w:type="gramStart"/>
      <w:r>
        <w:rPr>
          <w:rFonts w:cs="Times New Roman" w:hint="eastAsia"/>
          <w:szCs w:val="32"/>
        </w:rPr>
        <w:t>深入展产</w:t>
      </w:r>
      <w:proofErr w:type="gramEnd"/>
      <w:r>
        <w:rPr>
          <w:rFonts w:cs="Times New Roman" w:hint="eastAsia"/>
          <w:szCs w:val="32"/>
        </w:rPr>
        <w:t>融合互促，促进全市</w:t>
      </w:r>
      <w:r>
        <w:rPr>
          <w:rFonts w:cs="Times New Roman" w:hint="eastAsia"/>
          <w:szCs w:val="32"/>
        </w:rPr>
        <w:lastRenderedPageBreak/>
        <w:t>会展有序发展和高效协同协作，全力打造产业会展集聚地。锦江区依托春熙路时尚活力区、白鹭湾新经济总部功能区，打造“时尚消费</w:t>
      </w:r>
      <w:r>
        <w:rPr>
          <w:rFonts w:cs="Times New Roman" w:hint="eastAsia"/>
          <w:szCs w:val="32"/>
        </w:rPr>
        <w:t>+</w:t>
      </w:r>
      <w:r>
        <w:rPr>
          <w:rFonts w:cs="Times New Roman" w:hint="eastAsia"/>
          <w:szCs w:val="32"/>
        </w:rPr>
        <w:t>新经济”会展集聚地。青羊区依托少城国际文创谷、成都工业创新设计功能区，打造“文化创意</w:t>
      </w:r>
      <w:r>
        <w:rPr>
          <w:rFonts w:cs="Times New Roman" w:hint="eastAsia"/>
          <w:szCs w:val="32"/>
        </w:rPr>
        <w:t>+</w:t>
      </w:r>
      <w:r>
        <w:rPr>
          <w:rFonts w:cs="Times New Roman" w:hint="eastAsia"/>
          <w:szCs w:val="32"/>
        </w:rPr>
        <w:t>航空工业设计”会展集聚地。武侯区依托三国创意设计产业功能区、华西医</w:t>
      </w:r>
      <w:proofErr w:type="gramStart"/>
      <w:r>
        <w:rPr>
          <w:rFonts w:cs="Times New Roman" w:hint="eastAsia"/>
          <w:szCs w:val="32"/>
        </w:rPr>
        <w:t>美健康</w:t>
      </w:r>
      <w:proofErr w:type="gramEnd"/>
      <w:r>
        <w:rPr>
          <w:rFonts w:cs="Times New Roman" w:hint="eastAsia"/>
          <w:szCs w:val="32"/>
        </w:rPr>
        <w:t>城、</w:t>
      </w:r>
      <w:proofErr w:type="gramStart"/>
      <w:r>
        <w:rPr>
          <w:rFonts w:cs="Times New Roman" w:hint="eastAsia"/>
          <w:szCs w:val="32"/>
        </w:rPr>
        <w:t>她妆美谷</w:t>
      </w:r>
      <w:proofErr w:type="gramEnd"/>
      <w:r>
        <w:rPr>
          <w:rFonts w:cs="Times New Roman" w:hint="eastAsia"/>
          <w:szCs w:val="32"/>
        </w:rPr>
        <w:t>，打造“文化博览</w:t>
      </w:r>
      <w:r>
        <w:rPr>
          <w:rFonts w:cs="Times New Roman" w:hint="eastAsia"/>
          <w:szCs w:val="32"/>
        </w:rPr>
        <w:t>+</w:t>
      </w:r>
      <w:proofErr w:type="gramStart"/>
      <w:r>
        <w:rPr>
          <w:rFonts w:cs="Times New Roman" w:hint="eastAsia"/>
          <w:szCs w:val="32"/>
        </w:rPr>
        <w:t>医</w:t>
      </w:r>
      <w:proofErr w:type="gramEnd"/>
      <w:r>
        <w:rPr>
          <w:rFonts w:cs="Times New Roman" w:hint="eastAsia"/>
          <w:szCs w:val="32"/>
        </w:rPr>
        <w:t>美文旅”会展集聚地。成华区依托成都熊猫国际旅游度假区、东郊记忆艺术区，打造“熊猫度假</w:t>
      </w:r>
      <w:r>
        <w:rPr>
          <w:rFonts w:cs="Times New Roman" w:hint="eastAsia"/>
          <w:szCs w:val="32"/>
        </w:rPr>
        <w:t>+</w:t>
      </w:r>
      <w:r>
        <w:rPr>
          <w:rFonts w:cs="Times New Roman" w:hint="eastAsia"/>
          <w:szCs w:val="32"/>
        </w:rPr>
        <w:t>文创艺术”会展集聚地。</w:t>
      </w:r>
      <w:proofErr w:type="gramStart"/>
      <w:r>
        <w:rPr>
          <w:rFonts w:cs="Times New Roman" w:hint="eastAsia"/>
          <w:szCs w:val="32"/>
        </w:rPr>
        <w:t>青白江</w:t>
      </w:r>
      <w:proofErr w:type="gramEnd"/>
      <w:r>
        <w:rPr>
          <w:rFonts w:cs="Times New Roman" w:hint="eastAsia"/>
          <w:szCs w:val="32"/>
        </w:rPr>
        <w:t>区依托成都国际铁路港、成都欧洲产业城、成都高性能纤维材料产业功能区，打造“国际物流</w:t>
      </w:r>
      <w:r>
        <w:rPr>
          <w:rFonts w:cs="Times New Roman" w:hint="eastAsia"/>
          <w:szCs w:val="32"/>
        </w:rPr>
        <w:t>+</w:t>
      </w:r>
      <w:r>
        <w:rPr>
          <w:rFonts w:cs="Times New Roman" w:hint="eastAsia"/>
          <w:szCs w:val="32"/>
        </w:rPr>
        <w:t>智能制造”会展集聚地。新都区依托新都现代交通产业功能区、成北新消费活力区，打造“轨道交通</w:t>
      </w:r>
      <w:r>
        <w:rPr>
          <w:rFonts w:cs="Times New Roman" w:hint="eastAsia"/>
          <w:szCs w:val="32"/>
        </w:rPr>
        <w:t>+</w:t>
      </w:r>
      <w:r>
        <w:rPr>
          <w:rFonts w:cs="Times New Roman" w:hint="eastAsia"/>
          <w:szCs w:val="32"/>
        </w:rPr>
        <w:t>潮流消费”会展集聚地。温江区依托成都医学城、温江国家农业科技园区，打造“医疗康养</w:t>
      </w:r>
      <w:r>
        <w:rPr>
          <w:rFonts w:cs="Times New Roman" w:hint="eastAsia"/>
          <w:szCs w:val="32"/>
        </w:rPr>
        <w:t>+</w:t>
      </w:r>
      <w:r>
        <w:rPr>
          <w:rFonts w:cs="Times New Roman" w:hint="eastAsia"/>
          <w:szCs w:val="32"/>
        </w:rPr>
        <w:t>花卉苗木”会展集聚地。</w:t>
      </w:r>
      <w:proofErr w:type="gramStart"/>
      <w:r>
        <w:rPr>
          <w:rFonts w:cs="Times New Roman" w:hint="eastAsia"/>
          <w:szCs w:val="32"/>
        </w:rPr>
        <w:t>郫</w:t>
      </w:r>
      <w:proofErr w:type="gramEnd"/>
      <w:r>
        <w:rPr>
          <w:rFonts w:cs="Times New Roman" w:hint="eastAsia"/>
          <w:szCs w:val="32"/>
        </w:rPr>
        <w:t>都区依托中国川菜产业城、成都影视城、绿色氢能产业功能区，打造“休闲食品</w:t>
      </w:r>
      <w:r>
        <w:rPr>
          <w:rFonts w:cs="Times New Roman" w:hint="eastAsia"/>
          <w:szCs w:val="32"/>
        </w:rPr>
        <w:t>+</w:t>
      </w:r>
      <w:r>
        <w:rPr>
          <w:rFonts w:cs="Times New Roman" w:hint="eastAsia"/>
          <w:szCs w:val="32"/>
        </w:rPr>
        <w:t>动漫电竞</w:t>
      </w:r>
      <w:r>
        <w:rPr>
          <w:rFonts w:cs="Times New Roman" w:hint="eastAsia"/>
          <w:szCs w:val="32"/>
        </w:rPr>
        <w:t>+</w:t>
      </w:r>
      <w:r>
        <w:rPr>
          <w:rFonts w:cs="Times New Roman" w:hint="eastAsia"/>
          <w:szCs w:val="32"/>
        </w:rPr>
        <w:t>绿色氢能”会展集聚地。简阳市依托简阳临</w:t>
      </w:r>
      <w:proofErr w:type="gramStart"/>
      <w:r>
        <w:rPr>
          <w:rFonts w:cs="Times New Roman" w:hint="eastAsia"/>
          <w:szCs w:val="32"/>
        </w:rPr>
        <w:t>空经济</w:t>
      </w:r>
      <w:proofErr w:type="gramEnd"/>
      <w:r>
        <w:rPr>
          <w:rFonts w:cs="Times New Roman" w:hint="eastAsia"/>
          <w:szCs w:val="32"/>
        </w:rPr>
        <w:t>产业园、成都空</w:t>
      </w:r>
      <w:proofErr w:type="gramStart"/>
      <w:r>
        <w:rPr>
          <w:rFonts w:cs="Times New Roman" w:hint="eastAsia"/>
          <w:szCs w:val="32"/>
        </w:rPr>
        <w:t>天产业</w:t>
      </w:r>
      <w:proofErr w:type="gramEnd"/>
      <w:r>
        <w:rPr>
          <w:rFonts w:cs="Times New Roman" w:hint="eastAsia"/>
          <w:szCs w:val="32"/>
        </w:rPr>
        <w:t>功能区，打造“电商物流</w:t>
      </w:r>
      <w:r>
        <w:rPr>
          <w:rFonts w:cs="Times New Roman" w:hint="eastAsia"/>
          <w:szCs w:val="32"/>
        </w:rPr>
        <w:t>+</w:t>
      </w:r>
      <w:r>
        <w:rPr>
          <w:rFonts w:cs="Times New Roman" w:hint="eastAsia"/>
          <w:szCs w:val="32"/>
        </w:rPr>
        <w:t>绿色建筑材料”会展集聚地。彭州市依托天府中药城、龙门山</w:t>
      </w:r>
      <w:proofErr w:type="gramStart"/>
      <w:r>
        <w:rPr>
          <w:rFonts w:cs="Times New Roman" w:hint="eastAsia"/>
          <w:szCs w:val="32"/>
        </w:rPr>
        <w:t>湔</w:t>
      </w:r>
      <w:proofErr w:type="gramEnd"/>
      <w:r>
        <w:rPr>
          <w:rFonts w:cs="Times New Roman" w:hint="eastAsia"/>
          <w:szCs w:val="32"/>
        </w:rPr>
        <w:t>江河谷生态旅游区、成都高分子新材料产业功能区，打造“医药健康</w:t>
      </w:r>
      <w:r>
        <w:rPr>
          <w:rFonts w:cs="Times New Roman" w:hint="eastAsia"/>
          <w:szCs w:val="32"/>
        </w:rPr>
        <w:t>+</w:t>
      </w:r>
      <w:r>
        <w:rPr>
          <w:rFonts w:cs="Times New Roman" w:hint="eastAsia"/>
          <w:szCs w:val="32"/>
        </w:rPr>
        <w:t>绿色低碳”会展集聚地。邛崃市依托天府现代种业园、天府新区半导体材料产业功能区和成都医疗</w:t>
      </w:r>
      <w:proofErr w:type="gramStart"/>
      <w:r>
        <w:rPr>
          <w:rFonts w:cs="Times New Roman" w:hint="eastAsia"/>
          <w:szCs w:val="32"/>
        </w:rPr>
        <w:t>器械创享中心</w:t>
      </w:r>
      <w:proofErr w:type="gramEnd"/>
      <w:r>
        <w:rPr>
          <w:rFonts w:cs="Times New Roman" w:hint="eastAsia"/>
          <w:szCs w:val="32"/>
        </w:rPr>
        <w:t>，打造“现代种业</w:t>
      </w:r>
      <w:r>
        <w:rPr>
          <w:rFonts w:cs="Times New Roman" w:hint="eastAsia"/>
          <w:szCs w:val="32"/>
        </w:rPr>
        <w:t>+</w:t>
      </w:r>
      <w:r>
        <w:rPr>
          <w:rFonts w:cs="Times New Roman" w:hint="eastAsia"/>
          <w:szCs w:val="32"/>
        </w:rPr>
        <w:t>新能源新材料</w:t>
      </w:r>
      <w:r>
        <w:rPr>
          <w:rFonts w:cs="Times New Roman" w:hint="eastAsia"/>
          <w:szCs w:val="32"/>
        </w:rPr>
        <w:t>+</w:t>
      </w:r>
      <w:r>
        <w:rPr>
          <w:rFonts w:cs="Times New Roman" w:hint="eastAsia"/>
          <w:szCs w:val="32"/>
        </w:rPr>
        <w:t>医药</w:t>
      </w:r>
      <w:proofErr w:type="gramStart"/>
      <w:r>
        <w:rPr>
          <w:rFonts w:cs="Times New Roman" w:hint="eastAsia"/>
          <w:szCs w:val="32"/>
        </w:rPr>
        <w:t>医</w:t>
      </w:r>
      <w:proofErr w:type="gramEnd"/>
      <w:r>
        <w:rPr>
          <w:rFonts w:cs="Times New Roman" w:hint="eastAsia"/>
          <w:szCs w:val="32"/>
        </w:rPr>
        <w:t>械”会展集聚地。</w:t>
      </w:r>
      <w:r>
        <w:rPr>
          <w:rFonts w:cs="Times New Roman" w:hint="eastAsia"/>
          <w:bCs/>
          <w:szCs w:val="32"/>
        </w:rPr>
        <w:t>蒲</w:t>
      </w:r>
      <w:r>
        <w:rPr>
          <w:rFonts w:cs="Times New Roman" w:hint="eastAsia"/>
          <w:szCs w:val="32"/>
        </w:rPr>
        <w:t>江县围绕中德（蒲江）产业新城、天府</w:t>
      </w:r>
      <w:proofErr w:type="gramStart"/>
      <w:r>
        <w:rPr>
          <w:rFonts w:cs="Times New Roman" w:hint="eastAsia"/>
          <w:szCs w:val="32"/>
        </w:rPr>
        <w:t>农创园</w:t>
      </w:r>
      <w:proofErr w:type="gramEnd"/>
      <w:r>
        <w:rPr>
          <w:rFonts w:cs="Times New Roman" w:hint="eastAsia"/>
          <w:szCs w:val="32"/>
        </w:rPr>
        <w:t>，打造“铁路设</w:t>
      </w:r>
      <w:r>
        <w:rPr>
          <w:rFonts w:cs="Times New Roman" w:hint="eastAsia"/>
          <w:szCs w:val="32"/>
        </w:rPr>
        <w:lastRenderedPageBreak/>
        <w:t>备</w:t>
      </w:r>
      <w:r>
        <w:rPr>
          <w:rFonts w:cs="Times New Roman" w:hint="eastAsia"/>
          <w:szCs w:val="32"/>
        </w:rPr>
        <w:t>+</w:t>
      </w:r>
      <w:r>
        <w:rPr>
          <w:rFonts w:cs="Times New Roman" w:hint="eastAsia"/>
          <w:szCs w:val="32"/>
        </w:rPr>
        <w:t>特色水果研发”会展集聚地。</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1F2B4F" w14:paraId="38F9033E" w14:textId="77777777">
        <w:trPr>
          <w:trHeight w:val="578"/>
          <w:tblHeader/>
          <w:jc w:val="center"/>
        </w:trPr>
        <w:tc>
          <w:tcPr>
            <w:tcW w:w="8834" w:type="dxa"/>
            <w:vAlign w:val="center"/>
          </w:tcPr>
          <w:p w14:paraId="2C8D04AC" w14:textId="77777777" w:rsidR="001F2B4F" w:rsidRDefault="00000000">
            <w:pPr>
              <w:overflowPunct w:val="0"/>
              <w:rPr>
                <w:rFonts w:cs="Times New Roman"/>
                <w:sz w:val="28"/>
                <w:szCs w:val="30"/>
              </w:rPr>
            </w:pPr>
            <w:r>
              <w:rPr>
                <w:rFonts w:eastAsia="方正黑体_GBK" w:cs="Times New Roman"/>
                <w:sz w:val="28"/>
                <w:szCs w:val="30"/>
              </w:rPr>
              <w:t>专栏</w:t>
            </w:r>
            <w:r>
              <w:rPr>
                <w:rFonts w:eastAsia="方正黑体_GBK" w:cs="Times New Roman"/>
                <w:sz w:val="28"/>
                <w:szCs w:val="30"/>
              </w:rPr>
              <w:t xml:space="preserve">5  </w:t>
            </w:r>
            <w:r>
              <w:rPr>
                <w:rFonts w:eastAsia="方正黑体_GBK" w:cs="Times New Roman" w:hint="eastAsia"/>
                <w:sz w:val="28"/>
                <w:szCs w:val="30"/>
              </w:rPr>
              <w:t>成都会展业发展布局图</w:t>
            </w:r>
          </w:p>
        </w:tc>
      </w:tr>
      <w:tr w:rsidR="001F2B4F" w14:paraId="079D79F9" w14:textId="77777777">
        <w:trPr>
          <w:trHeight w:val="125"/>
          <w:jc w:val="center"/>
        </w:trPr>
        <w:tc>
          <w:tcPr>
            <w:tcW w:w="8834" w:type="dxa"/>
            <w:vAlign w:val="center"/>
          </w:tcPr>
          <w:p w14:paraId="43FE2350" w14:textId="77777777" w:rsidR="001F2B4F" w:rsidRDefault="00000000">
            <w:pPr>
              <w:overflowPunct w:val="0"/>
              <w:snapToGrid w:val="0"/>
              <w:spacing w:beforeLines="10" w:before="58" w:afterLines="10" w:after="58"/>
              <w:jc w:val="center"/>
              <w:rPr>
                <w:rFonts w:cs="楷体_GB2312"/>
                <w:bCs/>
                <w:szCs w:val="32"/>
              </w:rPr>
            </w:pPr>
            <w:r>
              <w:rPr>
                <w:noProof/>
              </w:rPr>
              <w:drawing>
                <wp:inline distT="0" distB="0" distL="0" distR="0" wp14:anchorId="746A345E" wp14:editId="2967DE41">
                  <wp:extent cx="5472430" cy="381381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5472430" cy="3813810"/>
                          </a:xfrm>
                          <a:prstGeom prst="rect">
                            <a:avLst/>
                          </a:prstGeom>
                        </pic:spPr>
                      </pic:pic>
                    </a:graphicData>
                  </a:graphic>
                </wp:inline>
              </w:drawing>
            </w:r>
          </w:p>
        </w:tc>
      </w:tr>
    </w:tbl>
    <w:p w14:paraId="3F5D0AFE"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r>
        <w:rPr>
          <w:rFonts w:ascii="方正黑体_GBK" w:eastAsia="方正黑体_GBK" w:cs="宋体" w:hint="eastAsia"/>
          <w:bCs/>
          <w:kern w:val="0"/>
          <w:szCs w:val="32"/>
          <w:lang w:val="zh-CN" w:bidi="zh-CN"/>
        </w:rPr>
        <w:t>第二节</w:t>
      </w:r>
      <w:bookmarkEnd w:id="67"/>
      <w:r>
        <w:rPr>
          <w:rFonts w:ascii="方正黑体_GBK" w:eastAsia="方正黑体_GBK" w:cs="宋体" w:hint="eastAsia"/>
          <w:bCs/>
          <w:kern w:val="0"/>
          <w:szCs w:val="32"/>
          <w:lang w:val="zh-CN" w:bidi="zh-CN"/>
        </w:rPr>
        <w:t xml:space="preserve"> </w:t>
      </w:r>
      <w:r>
        <w:rPr>
          <w:rFonts w:ascii="方正黑体_GBK" w:eastAsia="方正黑体_GBK" w:cs="宋体"/>
          <w:bCs/>
          <w:kern w:val="0"/>
          <w:szCs w:val="32"/>
          <w:lang w:val="zh-CN" w:bidi="zh-CN"/>
        </w:rPr>
        <w:t xml:space="preserve"> </w:t>
      </w:r>
      <w:r>
        <w:rPr>
          <w:rFonts w:ascii="方正黑体_GBK" w:eastAsia="方正黑体_GBK" w:cs="宋体" w:hint="eastAsia"/>
          <w:bCs/>
          <w:kern w:val="0"/>
          <w:szCs w:val="32"/>
          <w:lang w:val="zh-CN" w:bidi="zh-CN"/>
        </w:rPr>
        <w:t>构建会展业新生态</w:t>
      </w:r>
      <w:bookmarkEnd w:id="68"/>
      <w:bookmarkEnd w:id="69"/>
    </w:p>
    <w:p w14:paraId="6F7B7B53" w14:textId="77777777" w:rsidR="001F2B4F" w:rsidRDefault="00000000">
      <w:pPr>
        <w:overflowPunct w:val="0"/>
        <w:adjustRightInd w:val="0"/>
        <w:snapToGrid w:val="0"/>
        <w:spacing w:line="579" w:lineRule="exact"/>
        <w:ind w:firstLineChars="200" w:firstLine="632"/>
        <w:rPr>
          <w:rStyle w:val="a4"/>
        </w:rPr>
      </w:pPr>
      <w:bookmarkStart w:id="77" w:name="_Hlk96351940"/>
      <w:bookmarkStart w:id="78" w:name="_Hlk96355790"/>
      <w:r>
        <w:rPr>
          <w:rFonts w:cs="楷体_GB2312" w:hint="eastAsia"/>
          <w:bCs/>
          <w:szCs w:val="32"/>
        </w:rPr>
        <w:t>贯彻落实中央关于提升产业</w:t>
      </w:r>
      <w:proofErr w:type="gramStart"/>
      <w:r>
        <w:rPr>
          <w:rFonts w:cs="楷体_GB2312" w:hint="eastAsia"/>
          <w:bCs/>
          <w:szCs w:val="32"/>
        </w:rPr>
        <w:t>链供应</w:t>
      </w:r>
      <w:proofErr w:type="gramEnd"/>
      <w:r>
        <w:rPr>
          <w:rFonts w:cs="楷体_GB2312" w:hint="eastAsia"/>
          <w:bCs/>
          <w:szCs w:val="32"/>
        </w:rPr>
        <w:t>链稳定性和竞争力的重大部署，</w:t>
      </w:r>
      <w:r>
        <w:rPr>
          <w:rStyle w:val="a4"/>
          <w:rFonts w:hint="eastAsia"/>
        </w:rPr>
        <w:t>坚定不移推进会展业</w:t>
      </w:r>
      <w:proofErr w:type="gramStart"/>
      <w:r>
        <w:rPr>
          <w:rStyle w:val="a4"/>
          <w:rFonts w:hint="eastAsia"/>
        </w:rPr>
        <w:t>建圈强链</w:t>
      </w:r>
      <w:proofErr w:type="gramEnd"/>
      <w:r>
        <w:rPr>
          <w:rStyle w:val="a4"/>
          <w:rFonts w:hint="eastAsia"/>
        </w:rPr>
        <w:t>和创新驱动发展，建设高能级创新平台，推动会展产业链、创新链、供应链深度融合，全面提升成都会展区域带动力和发展竞争力。</w:t>
      </w:r>
    </w:p>
    <w:p w14:paraId="6F37232C" w14:textId="77777777" w:rsidR="001F2B4F" w:rsidRDefault="00000000">
      <w:pPr>
        <w:overflowPunct w:val="0"/>
        <w:adjustRightInd w:val="0"/>
        <w:snapToGrid w:val="0"/>
        <w:spacing w:line="579" w:lineRule="exact"/>
        <w:ind w:firstLineChars="200" w:firstLine="632"/>
        <w:rPr>
          <w:rFonts w:cs="楷体_GB2312"/>
          <w:szCs w:val="32"/>
        </w:rPr>
      </w:pPr>
      <w:r>
        <w:rPr>
          <w:rFonts w:eastAsia="方正楷体_GBK" w:cs="方正楷体_GBK" w:hint="eastAsia"/>
          <w:szCs w:val="32"/>
          <w:lang w:val="zh-TW"/>
        </w:rPr>
        <w:t>推动会展业</w:t>
      </w:r>
      <w:proofErr w:type="gramStart"/>
      <w:r>
        <w:rPr>
          <w:rFonts w:eastAsia="方正楷体_GBK" w:cs="方正楷体_GBK" w:hint="eastAsia"/>
          <w:szCs w:val="32"/>
          <w:lang w:val="zh-TW"/>
        </w:rPr>
        <w:t>建圈强链</w:t>
      </w:r>
      <w:bookmarkEnd w:id="77"/>
      <w:bookmarkEnd w:id="78"/>
      <w:proofErr w:type="gramEnd"/>
      <w:r>
        <w:rPr>
          <w:rFonts w:eastAsia="方正楷体_GBK" w:cs="方正楷体_GBK" w:hint="eastAsia"/>
          <w:szCs w:val="32"/>
          <w:lang w:val="zh-TW"/>
        </w:rPr>
        <w:t>。</w:t>
      </w:r>
      <w:r>
        <w:rPr>
          <w:rFonts w:cs="楷体_GB2312" w:hint="eastAsia"/>
          <w:bCs/>
          <w:szCs w:val="32"/>
        </w:rPr>
        <w:t>建强成都都市会展引擎圈</w:t>
      </w:r>
      <w:r>
        <w:rPr>
          <w:rFonts w:cs="楷体_GB2312" w:hint="eastAsia"/>
          <w:szCs w:val="32"/>
        </w:rPr>
        <w:t>，推动四川会展发展“主干”由成都拓展为成都都市圈，推动成</w:t>
      </w:r>
      <w:proofErr w:type="gramStart"/>
      <w:r>
        <w:rPr>
          <w:rFonts w:cs="楷体_GB2312" w:hint="eastAsia"/>
          <w:szCs w:val="32"/>
        </w:rPr>
        <w:t>德眉资</w:t>
      </w:r>
      <w:proofErr w:type="gramEnd"/>
      <w:r>
        <w:rPr>
          <w:rFonts w:cs="楷体_GB2312" w:hint="eastAsia"/>
          <w:szCs w:val="32"/>
        </w:rPr>
        <w:t>会展业一体化、同城化发展，加强与</w:t>
      </w:r>
      <w:r>
        <w:rPr>
          <w:rFonts w:cs="楷体_GB2312"/>
          <w:szCs w:val="32"/>
        </w:rPr>
        <w:t>7</w:t>
      </w:r>
      <w:r>
        <w:rPr>
          <w:rFonts w:cs="楷体_GB2312"/>
          <w:szCs w:val="32"/>
        </w:rPr>
        <w:t>个区域中心城市</w:t>
      </w:r>
      <w:r>
        <w:rPr>
          <w:rFonts w:cs="楷体_GB2312" w:hint="eastAsia"/>
          <w:szCs w:val="32"/>
        </w:rPr>
        <w:t>协调发展，提升区域发展的整体性，共建共筑具有强大竞争力和影响力的会展</w:t>
      </w:r>
      <w:r>
        <w:rPr>
          <w:rFonts w:cs="楷体_GB2312" w:hint="eastAsia"/>
          <w:szCs w:val="32"/>
        </w:rPr>
        <w:lastRenderedPageBreak/>
        <w:t>产业生态圈。</w:t>
      </w:r>
      <w:r>
        <w:rPr>
          <w:rFonts w:cs="楷体_GB2312" w:hint="eastAsia"/>
          <w:bCs/>
          <w:szCs w:val="32"/>
        </w:rPr>
        <w:t>协同构建全国会展循环圈</w:t>
      </w:r>
      <w:r>
        <w:rPr>
          <w:rFonts w:cs="楷体_GB2312" w:hint="eastAsia"/>
          <w:szCs w:val="32"/>
        </w:rPr>
        <w:t>，深化成渝会展业合作，充分发挥成渝地区会展联盟机制作用</w:t>
      </w:r>
      <w:r>
        <w:rPr>
          <w:rFonts w:cs="楷体_GB2312" w:hint="eastAsia"/>
          <w:bCs/>
          <w:szCs w:val="32"/>
        </w:rPr>
        <w:t>，推动成渝共同打造川</w:t>
      </w:r>
      <w:proofErr w:type="gramStart"/>
      <w:r>
        <w:rPr>
          <w:rFonts w:cs="楷体_GB2312" w:hint="eastAsia"/>
          <w:bCs/>
          <w:szCs w:val="32"/>
        </w:rPr>
        <w:t>渝住房</w:t>
      </w:r>
      <w:proofErr w:type="gramEnd"/>
      <w:r>
        <w:rPr>
          <w:rFonts w:cs="楷体_GB2312" w:hint="eastAsia"/>
          <w:bCs/>
          <w:szCs w:val="32"/>
        </w:rPr>
        <w:t>城乡建设博览会、川</w:t>
      </w:r>
      <w:proofErr w:type="gramStart"/>
      <w:r>
        <w:rPr>
          <w:rFonts w:cs="楷体_GB2312" w:hint="eastAsia"/>
          <w:bCs/>
          <w:szCs w:val="32"/>
        </w:rPr>
        <w:t>渝特色</w:t>
      </w:r>
      <w:proofErr w:type="gramEnd"/>
      <w:r>
        <w:rPr>
          <w:rFonts w:cs="楷体_GB2312" w:hint="eastAsia"/>
          <w:bCs/>
          <w:szCs w:val="32"/>
        </w:rPr>
        <w:t>农产品交易会等区域化会展活动，共同举办“一带一路”科技交流大会，向上争取重大经贸、外交活动落户成渝地区，推动成渝地区重大场馆合作、</w:t>
      </w:r>
      <w:proofErr w:type="gramStart"/>
      <w:r>
        <w:rPr>
          <w:rFonts w:cs="楷体_GB2312" w:hint="eastAsia"/>
          <w:bCs/>
          <w:szCs w:val="32"/>
        </w:rPr>
        <w:t>招展引会一体化</w:t>
      </w:r>
      <w:proofErr w:type="gramEnd"/>
      <w:r>
        <w:rPr>
          <w:rFonts w:cs="楷体_GB2312" w:hint="eastAsia"/>
          <w:bCs/>
          <w:szCs w:val="32"/>
        </w:rPr>
        <w:t>，推进川</w:t>
      </w:r>
      <w:proofErr w:type="gramStart"/>
      <w:r>
        <w:rPr>
          <w:rFonts w:cs="楷体_GB2312" w:hint="eastAsia"/>
          <w:bCs/>
          <w:szCs w:val="32"/>
        </w:rPr>
        <w:t>渝自由</w:t>
      </w:r>
      <w:proofErr w:type="gramEnd"/>
      <w:r>
        <w:rPr>
          <w:rFonts w:cs="楷体_GB2312" w:hint="eastAsia"/>
          <w:bCs/>
          <w:szCs w:val="32"/>
        </w:rPr>
        <w:t>贸易试验区会展业协同开放，打造全国会展“第四极”；通过创新展会巡展联展模式，加强与京津</w:t>
      </w:r>
      <w:proofErr w:type="gramStart"/>
      <w:r>
        <w:rPr>
          <w:rFonts w:cs="楷体_GB2312" w:hint="eastAsia"/>
          <w:bCs/>
          <w:szCs w:val="32"/>
        </w:rPr>
        <w:t>冀城</w:t>
      </w:r>
      <w:proofErr w:type="gramEnd"/>
      <w:r>
        <w:rPr>
          <w:rFonts w:cs="楷体_GB2312" w:hint="eastAsia"/>
          <w:bCs/>
          <w:szCs w:val="32"/>
        </w:rPr>
        <w:t>市群、长三角城市群、粤港澳大湾区交流合作、信息共享，共建共筑具有引领辐射力强、产业带动力大的会展产业生态圈。积极拓展国际会展合作圈</w:t>
      </w:r>
      <w:r>
        <w:rPr>
          <w:rFonts w:cs="楷体_GB2312" w:hint="eastAsia"/>
          <w:szCs w:val="32"/>
        </w:rPr>
        <w:t>，加快与“一带一路”沿线国家和地区交流交往，完善国际会展常态化合作机制，共建共筑具有合作共赢、共同开放的会展产业生态圈。</w:t>
      </w:r>
      <w:bookmarkStart w:id="79" w:name="_Hlk96347269"/>
      <w:r>
        <w:rPr>
          <w:rFonts w:cs="楷体_GB2312" w:hint="eastAsia"/>
          <w:bCs/>
          <w:szCs w:val="32"/>
        </w:rPr>
        <w:t>做强会展产业链</w:t>
      </w:r>
      <w:bookmarkEnd w:id="79"/>
      <w:r>
        <w:rPr>
          <w:rFonts w:cs="楷体_GB2312" w:hint="eastAsia"/>
          <w:bCs/>
          <w:szCs w:val="32"/>
        </w:rPr>
        <w:t>。</w:t>
      </w:r>
      <w:r>
        <w:rPr>
          <w:rFonts w:cs="楷体_GB2312" w:hint="eastAsia"/>
          <w:szCs w:val="32"/>
        </w:rPr>
        <w:t>围绕产业基础高级化、产业链现代化，聚</w:t>
      </w:r>
      <w:proofErr w:type="gramStart"/>
      <w:r>
        <w:rPr>
          <w:rFonts w:cs="楷体_GB2312" w:hint="eastAsia"/>
          <w:szCs w:val="32"/>
        </w:rPr>
        <w:t>力项目</w:t>
      </w:r>
      <w:proofErr w:type="gramEnd"/>
      <w:r>
        <w:rPr>
          <w:rFonts w:cs="楷体_GB2312" w:hint="eastAsia"/>
          <w:szCs w:val="32"/>
        </w:rPr>
        <w:t>攻坚、聚合要素支撑、聚</w:t>
      </w:r>
      <w:proofErr w:type="gramStart"/>
      <w:r>
        <w:rPr>
          <w:rFonts w:cs="楷体_GB2312" w:hint="eastAsia"/>
          <w:szCs w:val="32"/>
        </w:rPr>
        <w:t>心服务</w:t>
      </w:r>
      <w:proofErr w:type="gramEnd"/>
      <w:r>
        <w:rPr>
          <w:rFonts w:cs="楷体_GB2312" w:hint="eastAsia"/>
          <w:szCs w:val="32"/>
        </w:rPr>
        <w:t>推进，以产业链</w:t>
      </w:r>
      <w:proofErr w:type="gramStart"/>
      <w:r>
        <w:rPr>
          <w:rFonts w:cs="楷体_GB2312" w:hint="eastAsia"/>
          <w:szCs w:val="32"/>
        </w:rPr>
        <w:t>链</w:t>
      </w:r>
      <w:proofErr w:type="gramEnd"/>
      <w:r>
        <w:rPr>
          <w:rFonts w:cs="楷体_GB2312" w:hint="eastAsia"/>
          <w:szCs w:val="32"/>
        </w:rPr>
        <w:t>主为突破，以原创展会品牌为核心，推动会展业能级大幅提升。</w:t>
      </w:r>
      <w:proofErr w:type="gramStart"/>
      <w:r>
        <w:rPr>
          <w:rFonts w:cs="楷体_GB2312" w:hint="eastAsia"/>
          <w:szCs w:val="32"/>
        </w:rPr>
        <w:t>引培主</w:t>
      </w:r>
      <w:proofErr w:type="gramEnd"/>
      <w:r>
        <w:rPr>
          <w:rFonts w:cs="楷体_GB2312" w:hint="eastAsia"/>
          <w:szCs w:val="32"/>
        </w:rPr>
        <w:t>体育链，围绕产业链、创新链、供应链、价值链，梳理全市会展企业，建立并动态更新会展产业</w:t>
      </w:r>
      <w:proofErr w:type="gramStart"/>
      <w:r>
        <w:rPr>
          <w:rFonts w:cs="楷体_GB2312" w:hint="eastAsia"/>
          <w:szCs w:val="32"/>
        </w:rPr>
        <w:t>链重点</w:t>
      </w:r>
      <w:proofErr w:type="gramEnd"/>
      <w:r>
        <w:rPr>
          <w:rFonts w:cs="楷体_GB2312" w:hint="eastAsia"/>
          <w:szCs w:val="32"/>
        </w:rPr>
        <w:t>培育优质企业名单，制定针对性的梯度培育计划，加速会展企业集聚。</w:t>
      </w:r>
      <w:proofErr w:type="gramStart"/>
      <w:r>
        <w:rPr>
          <w:rFonts w:cs="楷体_GB2312" w:hint="eastAsia"/>
          <w:szCs w:val="32"/>
        </w:rPr>
        <w:t>展产互促</w:t>
      </w:r>
      <w:proofErr w:type="gramEnd"/>
      <w:r>
        <w:rPr>
          <w:rFonts w:cs="楷体_GB2312" w:hint="eastAsia"/>
          <w:szCs w:val="32"/>
        </w:rPr>
        <w:t>融链，按照“办好一个会展活动、聚焦一个产业集群、链接一批优质企业、吸引一群优秀人才、洽谈</w:t>
      </w:r>
      <w:proofErr w:type="gramStart"/>
      <w:r>
        <w:rPr>
          <w:rFonts w:cs="楷体_GB2312" w:hint="eastAsia"/>
          <w:szCs w:val="32"/>
        </w:rPr>
        <w:t>一</w:t>
      </w:r>
      <w:proofErr w:type="gramEnd"/>
      <w:r>
        <w:rPr>
          <w:rFonts w:cs="楷体_GB2312" w:hint="eastAsia"/>
          <w:szCs w:val="32"/>
        </w:rPr>
        <w:t>众高端项目”的思路，发挥会展活动的“磁场效应”塑造产业优势，利用产业的“品牌效应”打造优质会展活动。</w:t>
      </w:r>
      <w:proofErr w:type="gramStart"/>
      <w:r>
        <w:rPr>
          <w:rFonts w:cs="楷体_GB2312" w:hint="eastAsia"/>
          <w:szCs w:val="32"/>
        </w:rPr>
        <w:t>招强争优</w:t>
      </w:r>
      <w:proofErr w:type="gramEnd"/>
      <w:r>
        <w:rPr>
          <w:rFonts w:cs="楷体_GB2312" w:hint="eastAsia"/>
          <w:szCs w:val="32"/>
        </w:rPr>
        <w:t>补链，组建产业部门、功能区、领军企业、</w:t>
      </w:r>
      <w:proofErr w:type="gramStart"/>
      <w:r>
        <w:rPr>
          <w:rFonts w:cs="楷体_GB2312" w:hint="eastAsia"/>
          <w:szCs w:val="32"/>
        </w:rPr>
        <w:t>会展大使</w:t>
      </w:r>
      <w:proofErr w:type="gramEnd"/>
      <w:r>
        <w:rPr>
          <w:rFonts w:cs="楷体_GB2312" w:hint="eastAsia"/>
          <w:szCs w:val="32"/>
        </w:rPr>
        <w:t>联动的专业招引团队，拓展会展产业</w:t>
      </w:r>
      <w:proofErr w:type="gramStart"/>
      <w:r>
        <w:rPr>
          <w:rFonts w:cs="楷体_GB2312" w:hint="eastAsia"/>
          <w:szCs w:val="32"/>
        </w:rPr>
        <w:t>链</w:t>
      </w:r>
      <w:r>
        <w:rPr>
          <w:rFonts w:cs="楷体_GB2312" w:hint="eastAsia"/>
          <w:szCs w:val="32"/>
        </w:rPr>
        <w:lastRenderedPageBreak/>
        <w:t>资源</w:t>
      </w:r>
      <w:proofErr w:type="gramEnd"/>
      <w:r>
        <w:rPr>
          <w:rFonts w:cs="楷体_GB2312" w:hint="eastAsia"/>
          <w:szCs w:val="32"/>
        </w:rPr>
        <w:t>供应网络，争取更多优质会展活动来蓉举办。创新发展强链，围绕数字创新和绿色发展，夯实会展数字基础设施，加强数字科技应用，深入实施智慧场馆、会展智造园区以及</w:t>
      </w:r>
      <w:proofErr w:type="gramStart"/>
      <w:r>
        <w:rPr>
          <w:rFonts w:cs="楷体_GB2312" w:hint="eastAsia"/>
          <w:szCs w:val="32"/>
        </w:rPr>
        <w:t>会展云</w:t>
      </w:r>
      <w:proofErr w:type="gramEnd"/>
      <w:r>
        <w:rPr>
          <w:rFonts w:cs="楷体_GB2312" w:hint="eastAsia"/>
          <w:szCs w:val="32"/>
        </w:rPr>
        <w:t>平台建设，促进会展业智慧化、科技化、生态化发展。配套强化固链，加快完善全市场馆建设和提升改造，完善交通组织、优化会展配套、提升市容环境、强化应急能力等，为重大展会提供配套支撑。引育人</w:t>
      </w:r>
      <w:proofErr w:type="gramStart"/>
      <w:r>
        <w:rPr>
          <w:rFonts w:cs="楷体_GB2312" w:hint="eastAsia"/>
          <w:szCs w:val="32"/>
        </w:rPr>
        <w:t>才优链</w:t>
      </w:r>
      <w:proofErr w:type="gramEnd"/>
      <w:r>
        <w:rPr>
          <w:rFonts w:cs="楷体_GB2312" w:hint="eastAsia"/>
          <w:szCs w:val="32"/>
        </w:rPr>
        <w:t>，整合市场需求和市场资源，建立高层次会展人才信息库，针对性地研究制定人才政策措施，</w:t>
      </w:r>
      <w:r>
        <w:rPr>
          <w:rFonts w:cs="楷体_GB2312"/>
          <w:szCs w:val="32"/>
        </w:rPr>
        <w:t>吸引会展领军人才、优秀团队来蓉</w:t>
      </w:r>
      <w:r>
        <w:rPr>
          <w:rFonts w:cs="楷体_GB2312" w:hint="eastAsia"/>
          <w:szCs w:val="32"/>
        </w:rPr>
        <w:t>，加大会展专业人才的培育、培训力度</w:t>
      </w:r>
      <w:r>
        <w:rPr>
          <w:rFonts w:cs="楷体_GB2312"/>
          <w:szCs w:val="32"/>
        </w:rPr>
        <w:t>。</w:t>
      </w:r>
      <w:r>
        <w:rPr>
          <w:rFonts w:cs="楷体_GB2312" w:hint="eastAsia"/>
          <w:szCs w:val="32"/>
        </w:rPr>
        <w:t>财金助力活链，通过探索设立会展业基金、区（市）县</w:t>
      </w:r>
      <w:proofErr w:type="gramStart"/>
      <w:r>
        <w:rPr>
          <w:rFonts w:cs="楷体_GB2312" w:hint="eastAsia"/>
          <w:szCs w:val="32"/>
        </w:rPr>
        <w:t>会展专项</w:t>
      </w:r>
      <w:proofErr w:type="gramEnd"/>
      <w:r>
        <w:rPr>
          <w:rFonts w:cs="楷体_GB2312" w:hint="eastAsia"/>
          <w:szCs w:val="32"/>
        </w:rPr>
        <w:t>资金以及创新金融产品、信贷模式、商业保险等方式，鼓励金融机构、</w:t>
      </w:r>
      <w:proofErr w:type="gramStart"/>
      <w:r>
        <w:rPr>
          <w:rFonts w:cs="楷体_GB2312" w:hint="eastAsia"/>
          <w:szCs w:val="32"/>
        </w:rPr>
        <w:t>创投资本支持</w:t>
      </w:r>
      <w:proofErr w:type="gramEnd"/>
      <w:r>
        <w:rPr>
          <w:rFonts w:cs="楷体_GB2312" w:hint="eastAsia"/>
          <w:szCs w:val="32"/>
        </w:rPr>
        <w:t>重点会展企业发展和重大会展项目的引育。优化环境促链，建立健全会展</w:t>
      </w:r>
      <w:proofErr w:type="gramStart"/>
      <w:r>
        <w:rPr>
          <w:rFonts w:cs="楷体_GB2312" w:hint="eastAsia"/>
          <w:szCs w:val="32"/>
        </w:rPr>
        <w:t>业统计</w:t>
      </w:r>
      <w:proofErr w:type="gramEnd"/>
      <w:r>
        <w:rPr>
          <w:rFonts w:cs="楷体_GB2312" w:hint="eastAsia"/>
          <w:szCs w:val="32"/>
        </w:rPr>
        <w:t>制度，探索成立成都市会展产业链联盟，研究出台会展服务、会展经营、展会评级等领域的地方标准，全面优化会展中介服务、知识产权保护和纠纷调解服务等，营造良好营商环境。</w:t>
      </w:r>
    </w:p>
    <w:p w14:paraId="314D5149" w14:textId="77777777" w:rsidR="001F2B4F" w:rsidRDefault="00000000">
      <w:pPr>
        <w:overflowPunct w:val="0"/>
        <w:adjustRightInd w:val="0"/>
        <w:snapToGrid w:val="0"/>
        <w:spacing w:line="579" w:lineRule="exact"/>
        <w:ind w:firstLineChars="200" w:firstLine="632"/>
        <w:rPr>
          <w:rFonts w:cs="楷体_GB2312"/>
          <w:szCs w:val="32"/>
        </w:rPr>
      </w:pPr>
      <w:bookmarkStart w:id="80" w:name="_Hlk96419246"/>
      <w:r>
        <w:rPr>
          <w:rFonts w:eastAsia="方正楷体_GBK" w:cs="方正楷体_GBK" w:hint="eastAsia"/>
          <w:szCs w:val="32"/>
          <w:lang w:val="zh-TW"/>
        </w:rPr>
        <w:t>搭建会展业高能级创新</w:t>
      </w:r>
      <w:r>
        <w:rPr>
          <w:rFonts w:eastAsia="方正楷体_GBK" w:cs="方正楷体_GBK"/>
          <w:szCs w:val="32"/>
          <w:lang w:val="zh-TW"/>
        </w:rPr>
        <w:t>平台</w:t>
      </w:r>
      <w:r>
        <w:rPr>
          <w:rFonts w:eastAsia="方正楷体_GBK" w:cs="方正楷体_GBK" w:hint="eastAsia"/>
          <w:szCs w:val="32"/>
          <w:lang w:val="zh-TW"/>
        </w:rPr>
        <w:t>。</w:t>
      </w:r>
      <w:bookmarkEnd w:id="80"/>
      <w:r>
        <w:rPr>
          <w:rFonts w:cs="Times New Roman" w:hint="eastAsia"/>
          <w:bCs/>
          <w:szCs w:val="32"/>
        </w:rPr>
        <w:t>搭建</w:t>
      </w:r>
      <w:r>
        <w:rPr>
          <w:rFonts w:cs="Times New Roman"/>
          <w:bCs/>
          <w:szCs w:val="32"/>
        </w:rPr>
        <w:t>全球资源</w:t>
      </w:r>
      <w:r>
        <w:rPr>
          <w:rFonts w:cs="Times New Roman" w:hint="eastAsia"/>
          <w:bCs/>
          <w:szCs w:val="32"/>
        </w:rPr>
        <w:t>集成</w:t>
      </w:r>
      <w:r>
        <w:rPr>
          <w:rFonts w:cs="Times New Roman"/>
          <w:bCs/>
          <w:szCs w:val="32"/>
        </w:rPr>
        <w:t>平台</w:t>
      </w:r>
      <w:r>
        <w:rPr>
          <w:rFonts w:cs="Times New Roman" w:hint="eastAsia"/>
          <w:szCs w:val="32"/>
        </w:rPr>
        <w:t>，充分发挥“双机场”和成都国际铁路港的比较优势</w:t>
      </w:r>
      <w:r>
        <w:rPr>
          <w:rFonts w:cs="Times New Roman"/>
          <w:szCs w:val="32"/>
        </w:rPr>
        <w:t>，</w:t>
      </w:r>
      <w:r>
        <w:rPr>
          <w:rFonts w:cs="Times New Roman" w:hint="eastAsia"/>
          <w:szCs w:val="32"/>
        </w:rPr>
        <w:t>高效</w:t>
      </w:r>
      <w:r>
        <w:rPr>
          <w:rFonts w:cs="Times New Roman"/>
          <w:szCs w:val="32"/>
        </w:rPr>
        <w:t>链接</w:t>
      </w:r>
      <w:r>
        <w:rPr>
          <w:rFonts w:cs="Times New Roman" w:hint="eastAsia"/>
          <w:szCs w:val="32"/>
        </w:rPr>
        <w:t>全球</w:t>
      </w:r>
      <w:r>
        <w:rPr>
          <w:rFonts w:cs="Times New Roman"/>
          <w:szCs w:val="32"/>
        </w:rPr>
        <w:t>会展核心市场，</w:t>
      </w:r>
      <w:r>
        <w:rPr>
          <w:rFonts w:cs="楷体_GB2312" w:hint="eastAsia"/>
          <w:szCs w:val="32"/>
        </w:rPr>
        <w:t>全面放大会展活动的品牌效应、产业拉动效应、贸易促进效应，进一步推动科技流、资金流、信息流、人才流集聚，</w:t>
      </w:r>
      <w:r>
        <w:rPr>
          <w:rFonts w:cs="Times New Roman" w:hint="eastAsia"/>
          <w:szCs w:val="32"/>
        </w:rPr>
        <w:t>实现以展促产、以展引商、以展兴城。</w:t>
      </w:r>
      <w:r>
        <w:rPr>
          <w:rFonts w:cs="Times New Roman" w:hint="eastAsia"/>
          <w:bCs/>
          <w:szCs w:val="32"/>
        </w:rPr>
        <w:t>搭建国际</w:t>
      </w:r>
      <w:proofErr w:type="gramStart"/>
      <w:r>
        <w:rPr>
          <w:rFonts w:cs="Times New Roman"/>
          <w:bCs/>
          <w:szCs w:val="32"/>
        </w:rPr>
        <w:t>创新策源平台</w:t>
      </w:r>
      <w:proofErr w:type="gramEnd"/>
      <w:r>
        <w:rPr>
          <w:rFonts w:cs="Times New Roman" w:hint="eastAsia"/>
          <w:szCs w:val="32"/>
        </w:rPr>
        <w:t>，加强</w:t>
      </w:r>
      <w:r>
        <w:rPr>
          <w:rFonts w:cs="楷体_GB2312" w:hint="eastAsia"/>
          <w:szCs w:val="32"/>
        </w:rPr>
        <w:t>与国际会展龙头企业、组织机构、智库团队、科技企业合作，</w:t>
      </w:r>
      <w:r>
        <w:rPr>
          <w:rFonts w:cs="楷体_GB2312" w:hint="eastAsia"/>
          <w:szCs w:val="32"/>
        </w:rPr>
        <w:lastRenderedPageBreak/>
        <w:t>提升本土会展</w:t>
      </w:r>
      <w:proofErr w:type="gramStart"/>
      <w:r>
        <w:rPr>
          <w:rFonts w:cs="楷体_GB2312" w:hint="eastAsia"/>
          <w:szCs w:val="32"/>
        </w:rPr>
        <w:t>创新策源能力</w:t>
      </w:r>
      <w:proofErr w:type="gramEnd"/>
      <w:r>
        <w:rPr>
          <w:rFonts w:cs="楷体_GB2312" w:hint="eastAsia"/>
          <w:szCs w:val="32"/>
        </w:rPr>
        <w:t>；聚焦会展新方向、新技术、新趋势，依托西部（成都）科学城等创新资源，导入研发资源和技术力量，构建多层次会展科技创新体系，为会展业创新发展提供有力支撑。</w:t>
      </w:r>
      <w:r>
        <w:rPr>
          <w:rFonts w:cs="Times New Roman" w:hint="eastAsia"/>
          <w:szCs w:val="32"/>
        </w:rPr>
        <w:t>搭建会展</w:t>
      </w:r>
      <w:proofErr w:type="gramStart"/>
      <w:r>
        <w:rPr>
          <w:rFonts w:cs="Times New Roman"/>
          <w:szCs w:val="32"/>
        </w:rPr>
        <w:t>人才</w:t>
      </w:r>
      <w:r>
        <w:rPr>
          <w:rFonts w:cs="Times New Roman" w:hint="eastAsia"/>
          <w:szCs w:val="32"/>
        </w:rPr>
        <w:t>引育平台</w:t>
      </w:r>
      <w:proofErr w:type="gramEnd"/>
      <w:r>
        <w:rPr>
          <w:rFonts w:cs="Times New Roman" w:hint="eastAsia"/>
          <w:szCs w:val="32"/>
        </w:rPr>
        <w:t>，</w:t>
      </w:r>
      <w:r>
        <w:rPr>
          <w:rFonts w:cs="楷体_GB2312" w:hint="eastAsia"/>
          <w:szCs w:val="32"/>
        </w:rPr>
        <w:t>建立高层次会展人才信息库，针对性地研究制定人才政策措施，吸引</w:t>
      </w:r>
      <w:r>
        <w:rPr>
          <w:rFonts w:cs="楷体_GB2312"/>
          <w:szCs w:val="32"/>
        </w:rPr>
        <w:t>会展领军人才、创新策展人才、会展创业团队</w:t>
      </w:r>
      <w:r>
        <w:rPr>
          <w:rFonts w:cs="楷体_GB2312" w:hint="eastAsia"/>
          <w:szCs w:val="32"/>
        </w:rPr>
        <w:t>、优秀团队来蓉，</w:t>
      </w:r>
      <w:r>
        <w:rPr>
          <w:rFonts w:cs="楷体_GB2312"/>
          <w:szCs w:val="32"/>
        </w:rPr>
        <w:t>协调推动</w:t>
      </w:r>
      <w:r>
        <w:rPr>
          <w:rFonts w:cs="楷体_GB2312" w:hint="eastAsia"/>
          <w:szCs w:val="32"/>
        </w:rPr>
        <w:t>会展相关</w:t>
      </w:r>
      <w:r>
        <w:rPr>
          <w:rFonts w:cs="楷体_GB2312"/>
          <w:szCs w:val="32"/>
        </w:rPr>
        <w:t>部门</w:t>
      </w:r>
      <w:r>
        <w:rPr>
          <w:rFonts w:cs="楷体_GB2312" w:hint="eastAsia"/>
          <w:szCs w:val="32"/>
        </w:rPr>
        <w:t>、相关企业与国际国内</w:t>
      </w:r>
      <w:r>
        <w:rPr>
          <w:rFonts w:cs="楷体_GB2312"/>
          <w:szCs w:val="32"/>
        </w:rPr>
        <w:t>知名会展院校</w:t>
      </w:r>
      <w:r>
        <w:rPr>
          <w:rFonts w:cs="楷体_GB2312" w:hint="eastAsia"/>
          <w:szCs w:val="32"/>
        </w:rPr>
        <w:t>、</w:t>
      </w:r>
      <w:r>
        <w:rPr>
          <w:rFonts w:cs="楷体_GB2312"/>
          <w:szCs w:val="32"/>
        </w:rPr>
        <w:t>会展培训机构共建</w:t>
      </w:r>
      <w:r>
        <w:rPr>
          <w:rFonts w:cs="楷体_GB2312"/>
          <w:szCs w:val="32"/>
        </w:rPr>
        <w:t>“</w:t>
      </w:r>
      <w:r>
        <w:rPr>
          <w:rFonts w:cs="楷体_GB2312"/>
          <w:szCs w:val="32"/>
        </w:rPr>
        <w:t>政产学研</w:t>
      </w:r>
      <w:r>
        <w:rPr>
          <w:rFonts w:cs="楷体_GB2312" w:hint="eastAsia"/>
          <w:szCs w:val="32"/>
        </w:rPr>
        <w:t>用</w:t>
      </w:r>
      <w:r>
        <w:rPr>
          <w:rFonts w:cs="楷体_GB2312"/>
          <w:szCs w:val="32"/>
        </w:rPr>
        <w:t>”</w:t>
      </w:r>
      <w:r>
        <w:rPr>
          <w:rFonts w:cs="楷体_GB2312"/>
          <w:szCs w:val="32"/>
        </w:rPr>
        <w:t>基地，</w:t>
      </w:r>
      <w:r>
        <w:rPr>
          <w:rFonts w:cs="楷体_GB2312" w:hint="eastAsia"/>
          <w:szCs w:val="32"/>
        </w:rPr>
        <w:t>在会展</w:t>
      </w:r>
      <w:r>
        <w:rPr>
          <w:rFonts w:cs="楷体_GB2312"/>
          <w:szCs w:val="32"/>
        </w:rPr>
        <w:t>人才</w:t>
      </w:r>
      <w:r>
        <w:rPr>
          <w:rFonts w:cs="楷体_GB2312" w:hint="eastAsia"/>
          <w:szCs w:val="32"/>
        </w:rPr>
        <w:t>培训</w:t>
      </w:r>
      <w:r>
        <w:rPr>
          <w:rFonts w:cs="楷体_GB2312"/>
          <w:szCs w:val="32"/>
        </w:rPr>
        <w:t>、国际交流、</w:t>
      </w:r>
      <w:r>
        <w:rPr>
          <w:rFonts w:cs="楷体_GB2312" w:hint="eastAsia"/>
          <w:szCs w:val="32"/>
        </w:rPr>
        <w:t>行业</w:t>
      </w:r>
      <w:r>
        <w:rPr>
          <w:rFonts w:cs="楷体_GB2312"/>
          <w:szCs w:val="32"/>
        </w:rPr>
        <w:t>推广等</w:t>
      </w:r>
      <w:r>
        <w:rPr>
          <w:rFonts w:cs="楷体_GB2312" w:hint="eastAsia"/>
          <w:szCs w:val="32"/>
        </w:rPr>
        <w:t>方面发挥</w:t>
      </w:r>
      <w:r>
        <w:rPr>
          <w:rFonts w:cs="楷体_GB2312"/>
          <w:szCs w:val="32"/>
        </w:rPr>
        <w:t>作用</w:t>
      </w:r>
      <w:r>
        <w:rPr>
          <w:rFonts w:cs="楷体_GB2312" w:hint="eastAsia"/>
          <w:szCs w:val="32"/>
        </w:rPr>
        <w:t>。</w:t>
      </w:r>
    </w:p>
    <w:p w14:paraId="7E34328F"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81" w:name="_Hlk96355500"/>
      <w:bookmarkStart w:id="82" w:name="_Toc78795999"/>
      <w:bookmarkStart w:id="83" w:name="_Toc65700539"/>
      <w:bookmarkStart w:id="84" w:name="_Toc78795971"/>
      <w:bookmarkStart w:id="85" w:name="_Toc93092576"/>
      <w:bookmarkStart w:id="86" w:name="_Toc96622380"/>
      <w:bookmarkStart w:id="87" w:name="_Toc65700544"/>
      <w:bookmarkStart w:id="88" w:name="_Toc78796001"/>
      <w:bookmarkStart w:id="89" w:name="_Toc78795973"/>
      <w:r>
        <w:rPr>
          <w:rFonts w:ascii="方正黑体_GBK" w:eastAsia="方正黑体_GBK" w:cs="宋体" w:hint="eastAsia"/>
          <w:bCs/>
          <w:kern w:val="0"/>
          <w:szCs w:val="32"/>
          <w:lang w:val="zh-CN" w:bidi="zh-CN"/>
        </w:rPr>
        <w:t>第三节</w:t>
      </w:r>
      <w:bookmarkEnd w:id="81"/>
      <w:r>
        <w:rPr>
          <w:rFonts w:ascii="方正黑体_GBK" w:eastAsia="方正黑体_GBK" w:cs="宋体" w:hint="eastAsia"/>
          <w:bCs/>
          <w:kern w:val="0"/>
          <w:szCs w:val="32"/>
          <w:lang w:val="zh-CN" w:bidi="zh-CN"/>
        </w:rPr>
        <w:t xml:space="preserve"> </w:t>
      </w:r>
      <w:bookmarkEnd w:id="82"/>
      <w:bookmarkEnd w:id="83"/>
      <w:bookmarkEnd w:id="84"/>
      <w:r>
        <w:rPr>
          <w:rFonts w:ascii="方正黑体_GBK" w:eastAsia="方正黑体_GBK" w:cs="宋体"/>
          <w:bCs/>
          <w:kern w:val="0"/>
          <w:szCs w:val="32"/>
          <w:lang w:val="zh-CN" w:bidi="zh-CN"/>
        </w:rPr>
        <w:t xml:space="preserve"> </w:t>
      </w:r>
      <w:r>
        <w:rPr>
          <w:rFonts w:ascii="方正黑体_GBK" w:eastAsia="方正黑体_GBK" w:cs="宋体" w:hint="eastAsia"/>
          <w:bCs/>
          <w:kern w:val="0"/>
          <w:szCs w:val="32"/>
          <w:lang w:val="zh-CN" w:bidi="zh-CN"/>
        </w:rPr>
        <w:t>培育会展业新动能</w:t>
      </w:r>
      <w:bookmarkEnd w:id="85"/>
      <w:bookmarkEnd w:id="86"/>
    </w:p>
    <w:p w14:paraId="33849E5F" w14:textId="77777777" w:rsidR="001F2B4F" w:rsidRDefault="00000000">
      <w:pPr>
        <w:overflowPunct w:val="0"/>
        <w:adjustRightInd w:val="0"/>
        <w:snapToGrid w:val="0"/>
        <w:spacing w:line="579" w:lineRule="exact"/>
        <w:ind w:firstLineChars="200" w:firstLine="632"/>
        <w:rPr>
          <w:rFonts w:cs="楷体_GB2312"/>
          <w:bCs/>
          <w:szCs w:val="32"/>
        </w:rPr>
      </w:pPr>
      <w:r>
        <w:rPr>
          <w:rFonts w:cs="楷体_GB2312" w:hint="eastAsia"/>
          <w:bCs/>
          <w:szCs w:val="32"/>
        </w:rPr>
        <w:t>按照“办好一次会，搞活一座城”思路，聚</w:t>
      </w:r>
      <w:proofErr w:type="gramStart"/>
      <w:r>
        <w:rPr>
          <w:rFonts w:cs="楷体_GB2312" w:hint="eastAsia"/>
          <w:bCs/>
          <w:szCs w:val="32"/>
        </w:rPr>
        <w:t>力城市</w:t>
      </w:r>
      <w:proofErr w:type="gramEnd"/>
      <w:r>
        <w:rPr>
          <w:rFonts w:cs="楷体_GB2312" w:hint="eastAsia"/>
          <w:bCs/>
          <w:szCs w:val="32"/>
        </w:rPr>
        <w:t>名片打造、要素资源共享、内外市场联通，实施名展（会）、名馆、名企、名业培育行动，构建会展专业人才队伍，推动会展业数字化、智慧化、生态化转型升级，拓展城市绿道、公园等会展展示新空间。</w:t>
      </w:r>
    </w:p>
    <w:p w14:paraId="01BC7742" w14:textId="77777777" w:rsidR="001F2B4F" w:rsidRDefault="00000000">
      <w:pPr>
        <w:overflowPunct w:val="0"/>
        <w:adjustRightInd w:val="0"/>
        <w:snapToGrid w:val="0"/>
        <w:spacing w:line="579" w:lineRule="exact"/>
        <w:ind w:firstLineChars="200" w:firstLine="632"/>
        <w:rPr>
          <w:rFonts w:cs="楷体_GB2312"/>
          <w:bCs/>
          <w:szCs w:val="32"/>
        </w:rPr>
      </w:pPr>
      <w:bookmarkStart w:id="90" w:name="_Hlk96368348"/>
      <w:proofErr w:type="gramStart"/>
      <w:r>
        <w:rPr>
          <w:rFonts w:eastAsia="方正楷体_GBK" w:cs="方正楷体_GBK"/>
          <w:szCs w:val="32"/>
          <w:lang w:val="zh-TW"/>
        </w:rPr>
        <w:t>实施</w:t>
      </w:r>
      <w:r>
        <w:rPr>
          <w:rFonts w:eastAsia="方正楷体_GBK" w:cs="方正楷体_GBK" w:hint="eastAsia"/>
          <w:szCs w:val="32"/>
          <w:lang w:val="zh-TW"/>
        </w:rPr>
        <w:t>名展</w:t>
      </w:r>
      <w:r>
        <w:rPr>
          <w:rFonts w:eastAsia="方正楷体_GBK" w:cs="方正楷体_GBK"/>
          <w:szCs w:val="32"/>
          <w:lang w:val="zh-TW"/>
        </w:rPr>
        <w:t>倍增</w:t>
      </w:r>
      <w:proofErr w:type="gramEnd"/>
      <w:r>
        <w:rPr>
          <w:rFonts w:eastAsia="方正楷体_GBK" w:cs="方正楷体_GBK" w:hint="eastAsia"/>
          <w:szCs w:val="32"/>
          <w:lang w:val="zh-TW"/>
        </w:rPr>
        <w:t>行动</w:t>
      </w:r>
      <w:bookmarkEnd w:id="90"/>
      <w:r>
        <w:rPr>
          <w:rFonts w:eastAsia="方正楷体_GBK" w:cs="方正楷体_GBK" w:hint="eastAsia"/>
          <w:szCs w:val="32"/>
          <w:lang w:val="zh-TW"/>
        </w:rPr>
        <w:t>。</w:t>
      </w:r>
      <w:r>
        <w:rPr>
          <w:rFonts w:cs="楷体_GB2312" w:hint="eastAsia"/>
          <w:szCs w:val="32"/>
        </w:rPr>
        <w:t>招引国际高能级展览</w:t>
      </w:r>
      <w:r>
        <w:rPr>
          <w:rFonts w:cs="楷体_GB2312" w:hint="eastAsia"/>
          <w:bCs/>
          <w:szCs w:val="32"/>
        </w:rPr>
        <w:t>，</w:t>
      </w:r>
      <w:proofErr w:type="gramStart"/>
      <w:r>
        <w:rPr>
          <w:rFonts w:cs="楷体_GB2312" w:hint="eastAsia"/>
          <w:bCs/>
          <w:szCs w:val="32"/>
        </w:rPr>
        <w:t>依托驻</w:t>
      </w:r>
      <w:proofErr w:type="gramEnd"/>
      <w:r>
        <w:rPr>
          <w:rFonts w:cs="楷体_GB2312" w:hint="eastAsia"/>
          <w:bCs/>
          <w:szCs w:val="32"/>
        </w:rPr>
        <w:t>蓉领事馆、商协会等机构，对接国际国内顶尖先进制造业展览的主办方，建立重点引进展览项目库，通过永久落户、设立海外展区、策划系列展等形式，招引一批行业影响力强、带动效应显著的国际知名品牌展览；办好世界园艺博览会、世界科幻大会等，推动会展国际化，做强会展之都城市名片</w:t>
      </w:r>
      <w:r>
        <w:rPr>
          <w:rFonts w:cs="楷体_GB2312"/>
          <w:bCs/>
          <w:szCs w:val="32"/>
        </w:rPr>
        <w:t>。</w:t>
      </w:r>
      <w:r>
        <w:rPr>
          <w:rFonts w:cs="楷体_GB2312" w:hint="eastAsia"/>
          <w:szCs w:val="32"/>
        </w:rPr>
        <w:t>提升本土品牌展览</w:t>
      </w:r>
      <w:r>
        <w:rPr>
          <w:rFonts w:cs="楷体_GB2312" w:hint="eastAsia"/>
          <w:bCs/>
          <w:szCs w:val="32"/>
        </w:rPr>
        <w:t>，推动全国糖酒商品交易会、中国西部国际博览会等大型展览提升专业服务能力，扩大展会国际影响力和竞争力，冲击世界商展百强等，打造高水平、专业性、市场化的世界级品牌展览；支持成都国际口腔</w:t>
      </w:r>
      <w:r>
        <w:rPr>
          <w:rFonts w:cs="楷体_GB2312" w:hint="eastAsia"/>
          <w:bCs/>
          <w:szCs w:val="32"/>
        </w:rPr>
        <w:lastRenderedPageBreak/>
        <w:t>设备与材料展览会、中国·四川（彭州）蔬菜博览会等自办展会加强与国际品牌展对接合作，申请</w:t>
      </w:r>
      <w:r>
        <w:rPr>
          <w:rFonts w:cs="楷体_GB2312"/>
          <w:bCs/>
          <w:szCs w:val="32"/>
        </w:rPr>
        <w:t>UFI</w:t>
      </w:r>
      <w:r>
        <w:rPr>
          <w:rFonts w:cs="楷体_GB2312"/>
          <w:bCs/>
          <w:szCs w:val="32"/>
        </w:rPr>
        <w:t>（</w:t>
      </w:r>
      <w:r>
        <w:rPr>
          <w:rFonts w:cs="楷体_GB2312" w:hint="eastAsia"/>
          <w:bCs/>
          <w:szCs w:val="32"/>
        </w:rPr>
        <w:t>国际</w:t>
      </w:r>
      <w:r>
        <w:rPr>
          <w:rFonts w:cs="楷体_GB2312"/>
          <w:bCs/>
          <w:szCs w:val="32"/>
        </w:rPr>
        <w:t>展览业协会）认证，</w:t>
      </w:r>
      <w:r>
        <w:rPr>
          <w:rFonts w:cs="楷体_GB2312" w:hint="eastAsia"/>
          <w:bCs/>
          <w:szCs w:val="32"/>
        </w:rPr>
        <w:t>打造一批国家级品牌展览。</w:t>
      </w:r>
      <w:r>
        <w:rPr>
          <w:rFonts w:cs="楷体_GB2312" w:hint="eastAsia"/>
          <w:szCs w:val="32"/>
        </w:rPr>
        <w:t>打造“一区</w:t>
      </w:r>
      <w:proofErr w:type="gramStart"/>
      <w:r>
        <w:rPr>
          <w:rFonts w:cs="楷体_GB2312" w:hint="eastAsia"/>
          <w:szCs w:val="32"/>
        </w:rPr>
        <w:t>一</w:t>
      </w:r>
      <w:proofErr w:type="gramEnd"/>
      <w:r>
        <w:rPr>
          <w:rFonts w:cs="楷体_GB2312" w:hint="eastAsia"/>
          <w:szCs w:val="32"/>
        </w:rPr>
        <w:t>品牌”</w:t>
      </w:r>
      <w:r>
        <w:rPr>
          <w:rFonts w:cs="楷体_GB2312" w:hint="eastAsia"/>
          <w:bCs/>
          <w:szCs w:val="32"/>
        </w:rPr>
        <w:t>，围绕全市</w:t>
      </w:r>
      <w:r>
        <w:rPr>
          <w:rFonts w:cs="楷体_GB2312"/>
          <w:bCs/>
          <w:szCs w:val="32"/>
        </w:rPr>
        <w:t>2</w:t>
      </w:r>
      <w:r>
        <w:rPr>
          <w:rFonts w:cs="楷体_GB2312" w:hint="eastAsia"/>
          <w:bCs/>
          <w:szCs w:val="32"/>
        </w:rPr>
        <w:t>1</w:t>
      </w:r>
      <w:r>
        <w:rPr>
          <w:rFonts w:cs="楷体_GB2312" w:hint="eastAsia"/>
          <w:bCs/>
          <w:szCs w:val="32"/>
        </w:rPr>
        <w:t>个重点产业链和</w:t>
      </w:r>
      <w:r>
        <w:rPr>
          <w:rFonts w:cs="楷体_GB2312" w:hint="eastAsia"/>
          <w:bCs/>
          <w:szCs w:val="32"/>
        </w:rPr>
        <w:t>5</w:t>
      </w:r>
      <w:r>
        <w:rPr>
          <w:rFonts w:cs="楷体_GB2312"/>
          <w:bCs/>
          <w:szCs w:val="32"/>
        </w:rPr>
        <w:t>8</w:t>
      </w:r>
      <w:r>
        <w:rPr>
          <w:rFonts w:cs="楷体_GB2312" w:hint="eastAsia"/>
          <w:bCs/>
          <w:szCs w:val="32"/>
        </w:rPr>
        <w:t>个产业功能区，支持每个重点产业链培育或引进</w:t>
      </w:r>
      <w:r>
        <w:rPr>
          <w:rFonts w:cs="楷体_GB2312" w:hint="eastAsia"/>
          <w:bCs/>
          <w:szCs w:val="32"/>
        </w:rPr>
        <w:t>1</w:t>
      </w:r>
      <w:r>
        <w:rPr>
          <w:rFonts w:cs="楷体_GB2312" w:hint="eastAsia"/>
          <w:bCs/>
          <w:szCs w:val="32"/>
        </w:rPr>
        <w:t>个标识度高、显示度强、影响力大且与产业主导方向高度契合的品牌展览活动，充分发挥专业展览的品牌塑造作用和影响传播功能，聚焦产业功能区宣传推广、供应链对接、展示展贸和合作交流等需求，鼓励在细分领域举办具有行业影响力的专业展览，开展产业推介、产业招商、配对洽谈等活动，提升</w:t>
      </w:r>
      <w:proofErr w:type="gramStart"/>
      <w:r>
        <w:rPr>
          <w:rFonts w:cs="楷体_GB2312" w:hint="eastAsia"/>
          <w:bCs/>
          <w:szCs w:val="32"/>
        </w:rPr>
        <w:t>展会投促带动</w:t>
      </w:r>
      <w:proofErr w:type="gramEnd"/>
      <w:r>
        <w:rPr>
          <w:rFonts w:cs="楷体_GB2312" w:hint="eastAsia"/>
          <w:bCs/>
          <w:szCs w:val="32"/>
        </w:rPr>
        <w:t>力。</w:t>
      </w:r>
      <w:r>
        <w:rPr>
          <w:rFonts w:cs="楷体_GB2312" w:hint="eastAsia"/>
          <w:szCs w:val="32"/>
        </w:rPr>
        <w:t>培育新兴展览</w:t>
      </w:r>
      <w:r>
        <w:rPr>
          <w:rFonts w:cs="楷体_GB2312" w:hint="eastAsia"/>
          <w:bCs/>
          <w:szCs w:val="32"/>
        </w:rPr>
        <w:t>，聚焦国家“双循环”、供给</w:t>
      </w:r>
      <w:proofErr w:type="gramStart"/>
      <w:r>
        <w:rPr>
          <w:rFonts w:cs="楷体_GB2312" w:hint="eastAsia"/>
          <w:bCs/>
          <w:szCs w:val="32"/>
        </w:rPr>
        <w:t>侧改革</w:t>
      </w:r>
      <w:proofErr w:type="gramEnd"/>
      <w:r>
        <w:rPr>
          <w:rFonts w:cs="楷体_GB2312" w:hint="eastAsia"/>
          <w:bCs/>
          <w:szCs w:val="32"/>
        </w:rPr>
        <w:t>战略和满足人民美好生活的新向往，以推动消费升级为手段，策划</w:t>
      </w:r>
      <w:proofErr w:type="gramStart"/>
      <w:r>
        <w:rPr>
          <w:rFonts w:cs="楷体_GB2312" w:hint="eastAsia"/>
          <w:bCs/>
          <w:szCs w:val="32"/>
        </w:rPr>
        <w:t>一</w:t>
      </w:r>
      <w:proofErr w:type="gramEnd"/>
      <w:r>
        <w:rPr>
          <w:rFonts w:cs="楷体_GB2312" w:hint="eastAsia"/>
          <w:bCs/>
          <w:szCs w:val="32"/>
        </w:rPr>
        <w:t>批文化旅游、创意设计、时尚生活等领域的品牌消费展、品牌特展，助力提质“幸福城”。聚焦发展新经济培育新动能，策划创办一批大数据、人工智能、</w:t>
      </w:r>
      <w:r>
        <w:rPr>
          <w:rFonts w:cs="楷体_GB2312" w:hint="eastAsia"/>
          <w:bCs/>
          <w:szCs w:val="32"/>
        </w:rPr>
        <w:t>5</w:t>
      </w:r>
      <w:r>
        <w:rPr>
          <w:rFonts w:cs="楷体_GB2312"/>
          <w:bCs/>
          <w:szCs w:val="32"/>
        </w:rPr>
        <w:t>G</w:t>
      </w:r>
      <w:r>
        <w:rPr>
          <w:rFonts w:cs="楷体_GB2312" w:hint="eastAsia"/>
          <w:bCs/>
          <w:szCs w:val="32"/>
        </w:rPr>
        <w:t>、清洁能源等数字新兴产业和成都新经济相关展览项目，提升“最适宜新经济发展的城市”品牌影响力，助力建设数字中国。聚焦在蓉举办的高能级体育赛事活动，策划一批体育装备、健身休闲相关展览项目，加强体育场馆的赛后综合利用，助力建设体育强市。</w:t>
      </w:r>
    </w:p>
    <w:p w14:paraId="3637E32A" w14:textId="77777777" w:rsidR="001F2B4F" w:rsidRDefault="00000000">
      <w:pPr>
        <w:overflowPunct w:val="0"/>
        <w:adjustRightInd w:val="0"/>
        <w:snapToGrid w:val="0"/>
        <w:spacing w:line="579" w:lineRule="exact"/>
        <w:ind w:firstLineChars="200" w:firstLine="632"/>
        <w:rPr>
          <w:bCs/>
          <w:szCs w:val="32"/>
        </w:rPr>
      </w:pPr>
      <w:r>
        <w:rPr>
          <w:rFonts w:eastAsia="方正楷体_GBK" w:cs="方正楷体_GBK" w:hint="eastAsia"/>
          <w:szCs w:val="32"/>
          <w:lang w:val="zh-TW"/>
        </w:rPr>
        <w:t>实施名会突破行动。</w:t>
      </w:r>
      <w:r>
        <w:rPr>
          <w:rFonts w:cs="楷体_GB2312" w:hint="eastAsia"/>
          <w:szCs w:val="32"/>
        </w:rPr>
        <w:t>招引重大知名会议</w:t>
      </w:r>
      <w:r>
        <w:rPr>
          <w:rFonts w:cs="楷体_GB2312" w:hint="eastAsia"/>
          <w:bCs/>
          <w:szCs w:val="32"/>
        </w:rPr>
        <w:t>，选聘行业领军人才、资源网络重要人物担任“成都会议大使”，借助其在各自领域的影响力，招引一批</w:t>
      </w:r>
      <w:proofErr w:type="gramStart"/>
      <w:r>
        <w:rPr>
          <w:rFonts w:cs="楷体_GB2312" w:hint="eastAsia"/>
          <w:bCs/>
          <w:szCs w:val="32"/>
        </w:rPr>
        <w:t>优质会议</w:t>
      </w:r>
      <w:proofErr w:type="gramEnd"/>
      <w:r>
        <w:rPr>
          <w:rFonts w:cs="楷体_GB2312" w:hint="eastAsia"/>
          <w:bCs/>
          <w:szCs w:val="32"/>
        </w:rPr>
        <w:t>论坛落户成都；推动中央直属企业、世界</w:t>
      </w:r>
      <w:r>
        <w:rPr>
          <w:rFonts w:cs="楷体_GB2312"/>
          <w:bCs/>
          <w:szCs w:val="32"/>
        </w:rPr>
        <w:t>500</w:t>
      </w:r>
      <w:r>
        <w:rPr>
          <w:rFonts w:cs="楷体_GB2312"/>
          <w:bCs/>
          <w:szCs w:val="32"/>
        </w:rPr>
        <w:t>强企业、中国</w:t>
      </w:r>
      <w:r>
        <w:rPr>
          <w:rFonts w:cs="楷体_GB2312"/>
          <w:bCs/>
          <w:szCs w:val="32"/>
        </w:rPr>
        <w:t>500</w:t>
      </w:r>
      <w:r>
        <w:rPr>
          <w:rFonts w:cs="楷体_GB2312"/>
          <w:bCs/>
          <w:szCs w:val="32"/>
        </w:rPr>
        <w:t>强企业、中国服务业</w:t>
      </w:r>
      <w:r>
        <w:rPr>
          <w:rFonts w:cs="楷体_GB2312"/>
          <w:bCs/>
          <w:szCs w:val="32"/>
        </w:rPr>
        <w:t>500</w:t>
      </w:r>
      <w:r>
        <w:rPr>
          <w:rFonts w:cs="楷体_GB2312"/>
          <w:bCs/>
          <w:szCs w:val="32"/>
        </w:rPr>
        <w:t>强企业等重点</w:t>
      </w:r>
      <w:r>
        <w:rPr>
          <w:rFonts w:cs="楷体_GB2312"/>
          <w:bCs/>
          <w:szCs w:val="32"/>
        </w:rPr>
        <w:lastRenderedPageBreak/>
        <w:t>企业来蓉</w:t>
      </w:r>
      <w:r>
        <w:rPr>
          <w:rFonts w:cs="楷体_GB2312" w:hint="eastAsia"/>
          <w:bCs/>
          <w:szCs w:val="32"/>
        </w:rPr>
        <w:t>举办</w:t>
      </w:r>
      <w:r>
        <w:rPr>
          <w:rFonts w:cs="楷体_GB2312"/>
          <w:bCs/>
          <w:szCs w:val="32"/>
        </w:rPr>
        <w:t>年会、供应商大会、专业论坛等。</w:t>
      </w:r>
      <w:r>
        <w:rPr>
          <w:rFonts w:cs="楷体_GB2312" w:hint="eastAsia"/>
          <w:szCs w:val="32"/>
        </w:rPr>
        <w:t>培育本土品牌会议</w:t>
      </w:r>
      <w:r>
        <w:rPr>
          <w:rFonts w:cs="楷体_GB2312" w:hint="eastAsia"/>
          <w:bCs/>
          <w:szCs w:val="32"/>
        </w:rPr>
        <w:t>，聚焦成都市重点产业发展需求与特色资源，培育或壮大一批标识度高、显示度强、影响力大的专业会议；抢抓成渝地区双城经济圈建设等国家战略机遇，加强与国内国际行业协会、学会合作，策划原创一批具有国际影响力的科学会议，打造科学会议首选地。</w:t>
      </w:r>
      <w:r>
        <w:rPr>
          <w:rFonts w:cs="楷体_GB2312" w:hint="eastAsia"/>
          <w:szCs w:val="32"/>
        </w:rPr>
        <w:t>争取</w:t>
      </w:r>
      <w:proofErr w:type="gramStart"/>
      <w:r>
        <w:rPr>
          <w:rFonts w:cs="楷体_GB2312" w:hint="eastAsia"/>
          <w:szCs w:val="32"/>
        </w:rPr>
        <w:t>国家主场</w:t>
      </w:r>
      <w:proofErr w:type="gramEnd"/>
      <w:r>
        <w:rPr>
          <w:rFonts w:cs="楷体_GB2312" w:hint="eastAsia"/>
          <w:szCs w:val="32"/>
        </w:rPr>
        <w:t>外交会议</w:t>
      </w:r>
      <w:r>
        <w:rPr>
          <w:rFonts w:cs="楷体_GB2312" w:hint="eastAsia"/>
          <w:bCs/>
          <w:szCs w:val="32"/>
        </w:rPr>
        <w:t>，聚焦增强国际对外交往中心功能，发挥天府国际会议中心和国际会都岛国际交往功能，依托中国—欧洲中心和中韩、中德、中法、中意、新川等国别合作园区，主动承接国家重大主场外交活动和重大涉外会议，积极申办举办具有世界影响力的高层论坛对话，打造国家级国际交往承载地</w:t>
      </w:r>
      <w:r>
        <w:rPr>
          <w:rFonts w:hint="eastAsia"/>
          <w:bCs/>
          <w:szCs w:val="32"/>
        </w:rPr>
        <w:t>。</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1F2B4F" w14:paraId="75EAC292" w14:textId="77777777">
        <w:trPr>
          <w:trHeight w:val="609"/>
          <w:tblHeader/>
          <w:jc w:val="center"/>
        </w:trPr>
        <w:tc>
          <w:tcPr>
            <w:tcW w:w="8834" w:type="dxa"/>
            <w:vAlign w:val="center"/>
          </w:tcPr>
          <w:p w14:paraId="191280FA" w14:textId="77777777" w:rsidR="001F2B4F" w:rsidRDefault="00000000">
            <w:pPr>
              <w:overflowPunct w:val="0"/>
              <w:rPr>
                <w:rFonts w:cs="Times New Roman"/>
                <w:sz w:val="28"/>
                <w:szCs w:val="30"/>
              </w:rPr>
            </w:pPr>
            <w:r>
              <w:rPr>
                <w:rFonts w:eastAsia="方正黑体_GBK" w:cs="Times New Roman"/>
                <w:sz w:val="28"/>
                <w:szCs w:val="30"/>
              </w:rPr>
              <w:t>专栏</w:t>
            </w:r>
            <w:r>
              <w:rPr>
                <w:rFonts w:eastAsia="方正黑体_GBK" w:cs="Times New Roman"/>
                <w:sz w:val="28"/>
                <w:szCs w:val="30"/>
              </w:rPr>
              <w:t xml:space="preserve">6  </w:t>
            </w:r>
            <w:proofErr w:type="gramStart"/>
            <w:r>
              <w:rPr>
                <w:rFonts w:eastAsia="方正黑体_GBK" w:cs="Times New Roman" w:hint="eastAsia"/>
                <w:sz w:val="28"/>
                <w:szCs w:val="30"/>
              </w:rPr>
              <w:t>名</w:t>
            </w:r>
            <w:r>
              <w:rPr>
                <w:rFonts w:eastAsia="方正黑体_GBK" w:cs="Times New Roman"/>
                <w:sz w:val="28"/>
                <w:szCs w:val="30"/>
              </w:rPr>
              <w:t>展</w:t>
            </w:r>
            <w:r>
              <w:rPr>
                <w:rFonts w:eastAsia="方正黑体_GBK" w:cs="Times New Roman" w:hint="eastAsia"/>
                <w:sz w:val="28"/>
                <w:szCs w:val="30"/>
              </w:rPr>
              <w:t>名</w:t>
            </w:r>
            <w:proofErr w:type="gramEnd"/>
            <w:r>
              <w:rPr>
                <w:rFonts w:eastAsia="方正黑体_GBK" w:cs="Times New Roman" w:hint="eastAsia"/>
                <w:sz w:val="28"/>
                <w:szCs w:val="30"/>
              </w:rPr>
              <w:t>会倍增</w:t>
            </w:r>
          </w:p>
        </w:tc>
      </w:tr>
      <w:tr w:rsidR="001F2B4F" w14:paraId="0562BFAB" w14:textId="77777777">
        <w:trPr>
          <w:trHeight w:val="67"/>
          <w:jc w:val="center"/>
        </w:trPr>
        <w:tc>
          <w:tcPr>
            <w:tcW w:w="8834" w:type="dxa"/>
            <w:vAlign w:val="center"/>
          </w:tcPr>
          <w:p w14:paraId="4A374D61" w14:textId="77777777" w:rsidR="001F2B4F" w:rsidRDefault="00000000">
            <w:pPr>
              <w:overflowPunct w:val="0"/>
              <w:snapToGrid w:val="0"/>
              <w:spacing w:line="390" w:lineRule="exact"/>
              <w:ind w:firstLineChars="200" w:firstLine="472"/>
              <w:rPr>
                <w:rFonts w:cs="Times New Roman"/>
                <w:sz w:val="24"/>
                <w:szCs w:val="32"/>
              </w:rPr>
            </w:pPr>
            <w:bookmarkStart w:id="91" w:name="_Hlk93051627"/>
            <w:r>
              <w:rPr>
                <w:rFonts w:cs="Times New Roman"/>
                <w:sz w:val="24"/>
                <w:szCs w:val="32"/>
              </w:rPr>
              <w:t>1</w:t>
            </w:r>
            <w:r>
              <w:rPr>
                <w:rFonts w:cs="Times New Roman" w:hint="eastAsia"/>
                <w:sz w:val="24"/>
                <w:szCs w:val="32"/>
              </w:rPr>
              <w:t>、招引国内外名展览。</w:t>
            </w:r>
            <w:r>
              <w:rPr>
                <w:rFonts w:cs="Times New Roman" w:hint="eastAsia"/>
                <w:bCs/>
                <w:sz w:val="24"/>
                <w:szCs w:val="32"/>
              </w:rPr>
              <w:t>世界园艺博览会</w:t>
            </w:r>
            <w:r>
              <w:rPr>
                <w:rFonts w:cs="Times New Roman" w:hint="eastAsia"/>
                <w:sz w:val="24"/>
                <w:szCs w:val="32"/>
              </w:rPr>
              <w:t>、亚洲园艺博览会、国际绿色建筑与建筑节能大会暨新技术与产品博览会、中国（国际）检验医学暨输血仪器试剂博览会、中国教育装备展示会、中国国际运输与物流博览会、全国新特药品交易会等。</w:t>
            </w:r>
          </w:p>
          <w:p w14:paraId="46A06345" w14:textId="77777777" w:rsidR="001F2B4F" w:rsidRDefault="00000000">
            <w:pPr>
              <w:overflowPunct w:val="0"/>
              <w:snapToGrid w:val="0"/>
              <w:spacing w:line="390" w:lineRule="exact"/>
              <w:ind w:firstLineChars="200" w:firstLine="472"/>
              <w:rPr>
                <w:rFonts w:cs="Times New Roman"/>
                <w:sz w:val="24"/>
                <w:szCs w:val="32"/>
              </w:rPr>
            </w:pPr>
            <w:r>
              <w:rPr>
                <w:rFonts w:cs="Times New Roman"/>
                <w:sz w:val="24"/>
                <w:szCs w:val="32"/>
              </w:rPr>
              <w:t>2</w:t>
            </w:r>
            <w:r>
              <w:rPr>
                <w:rFonts w:cs="Times New Roman" w:hint="eastAsia"/>
                <w:sz w:val="24"/>
                <w:szCs w:val="32"/>
              </w:rPr>
              <w:t>、提升本土品牌展览。</w:t>
            </w:r>
          </w:p>
          <w:p w14:paraId="120D3086" w14:textId="77777777" w:rsidR="001F2B4F" w:rsidRDefault="00000000">
            <w:pPr>
              <w:overflowPunct w:val="0"/>
              <w:snapToGrid w:val="0"/>
              <w:spacing w:line="390" w:lineRule="exact"/>
              <w:ind w:firstLineChars="200" w:firstLine="472"/>
              <w:rPr>
                <w:rFonts w:cs="Times New Roman"/>
                <w:bCs/>
                <w:sz w:val="24"/>
                <w:szCs w:val="32"/>
              </w:rPr>
            </w:pPr>
            <w:r>
              <w:rPr>
                <w:rFonts w:cs="Times New Roman" w:hint="eastAsia"/>
                <w:sz w:val="24"/>
                <w:szCs w:val="32"/>
              </w:rPr>
              <w:t>打造</w:t>
            </w:r>
            <w:r>
              <w:rPr>
                <w:rFonts w:cs="Times New Roman"/>
                <w:sz w:val="24"/>
                <w:szCs w:val="32"/>
              </w:rPr>
              <w:t>世界级</w:t>
            </w:r>
            <w:r>
              <w:rPr>
                <w:rFonts w:cs="Times New Roman" w:hint="eastAsia"/>
                <w:sz w:val="24"/>
                <w:szCs w:val="32"/>
              </w:rPr>
              <w:t>品牌展览：</w:t>
            </w:r>
            <w:r>
              <w:rPr>
                <w:rFonts w:cs="Times New Roman"/>
                <w:sz w:val="24"/>
                <w:szCs w:val="32"/>
              </w:rPr>
              <w:t>全国糖酒商品交易会</w:t>
            </w:r>
            <w:r>
              <w:rPr>
                <w:rFonts w:cs="Times New Roman" w:hint="eastAsia"/>
                <w:sz w:val="24"/>
                <w:szCs w:val="32"/>
              </w:rPr>
              <w:t>、</w:t>
            </w:r>
            <w:r>
              <w:rPr>
                <w:rFonts w:cs="Times New Roman"/>
                <w:sz w:val="24"/>
                <w:szCs w:val="32"/>
              </w:rPr>
              <w:t>中国西部国际博览会</w:t>
            </w:r>
            <w:r>
              <w:rPr>
                <w:rFonts w:cs="Times New Roman" w:hint="eastAsia"/>
                <w:sz w:val="24"/>
                <w:szCs w:val="32"/>
              </w:rPr>
              <w:t>等。</w:t>
            </w:r>
          </w:p>
          <w:p w14:paraId="1F0B5215" w14:textId="77777777" w:rsidR="001F2B4F" w:rsidRDefault="00000000">
            <w:pPr>
              <w:overflowPunct w:val="0"/>
              <w:snapToGrid w:val="0"/>
              <w:spacing w:line="390" w:lineRule="exact"/>
              <w:ind w:firstLineChars="200" w:firstLine="472"/>
              <w:rPr>
                <w:rFonts w:cs="Times New Roman"/>
                <w:sz w:val="24"/>
                <w:szCs w:val="32"/>
              </w:rPr>
            </w:pPr>
            <w:bookmarkStart w:id="92" w:name="_Hlk92979939"/>
            <w:r>
              <w:rPr>
                <w:rFonts w:cs="Times New Roman" w:hint="eastAsia"/>
                <w:sz w:val="24"/>
                <w:szCs w:val="32"/>
              </w:rPr>
              <w:t>打造国家</w:t>
            </w:r>
            <w:r>
              <w:rPr>
                <w:rFonts w:cs="Times New Roman"/>
                <w:sz w:val="24"/>
                <w:szCs w:val="32"/>
              </w:rPr>
              <w:t>级</w:t>
            </w:r>
            <w:r>
              <w:rPr>
                <w:rFonts w:cs="Times New Roman" w:hint="eastAsia"/>
                <w:sz w:val="24"/>
                <w:szCs w:val="32"/>
              </w:rPr>
              <w:t>品牌展览：</w:t>
            </w:r>
            <w:r>
              <w:rPr>
                <w:rFonts w:cs="Times New Roman"/>
                <w:sz w:val="24"/>
                <w:szCs w:val="32"/>
              </w:rPr>
              <w:t>成都国际汽车展览会、成都国际口腔设备与材料展览会</w:t>
            </w:r>
            <w:r>
              <w:rPr>
                <w:rFonts w:cs="Times New Roman" w:hint="eastAsia"/>
                <w:sz w:val="24"/>
                <w:szCs w:val="32"/>
              </w:rPr>
              <w:t>、中国·四川（彭州）蔬菜博览会、四川农业博览会、</w:t>
            </w:r>
            <w:bookmarkEnd w:id="92"/>
            <w:r>
              <w:rPr>
                <w:rFonts w:cs="Times New Roman"/>
                <w:sz w:val="24"/>
                <w:szCs w:val="32"/>
              </w:rPr>
              <w:t>成都</w:t>
            </w:r>
            <w:r>
              <w:rPr>
                <w:rFonts w:cs="Times New Roman" w:hint="eastAsia"/>
                <w:sz w:val="24"/>
                <w:szCs w:val="32"/>
              </w:rPr>
              <w:t>（</w:t>
            </w:r>
            <w:r>
              <w:rPr>
                <w:rFonts w:cs="Times New Roman"/>
                <w:sz w:val="24"/>
                <w:szCs w:val="32"/>
              </w:rPr>
              <w:t>国际</w:t>
            </w:r>
            <w:r>
              <w:rPr>
                <w:rFonts w:cs="Times New Roman" w:hint="eastAsia"/>
                <w:sz w:val="24"/>
                <w:szCs w:val="32"/>
              </w:rPr>
              <w:t>）</w:t>
            </w:r>
            <w:r>
              <w:rPr>
                <w:rFonts w:cs="Times New Roman"/>
                <w:sz w:val="24"/>
                <w:szCs w:val="32"/>
              </w:rPr>
              <w:t>数字娱乐博览会</w:t>
            </w:r>
            <w:r>
              <w:rPr>
                <w:rFonts w:cs="Times New Roman" w:hint="eastAsia"/>
                <w:sz w:val="24"/>
                <w:szCs w:val="32"/>
              </w:rPr>
              <w:t>等。</w:t>
            </w:r>
          </w:p>
          <w:p w14:paraId="1058BB76" w14:textId="77777777" w:rsidR="001F2B4F" w:rsidRDefault="00000000">
            <w:pPr>
              <w:overflowPunct w:val="0"/>
              <w:snapToGrid w:val="0"/>
              <w:spacing w:line="390" w:lineRule="exact"/>
              <w:ind w:firstLineChars="200" w:firstLine="472"/>
              <w:rPr>
                <w:rFonts w:cs="Times New Roman"/>
                <w:sz w:val="24"/>
                <w:szCs w:val="32"/>
              </w:rPr>
            </w:pPr>
            <w:r>
              <w:rPr>
                <w:rFonts w:cs="Times New Roman" w:hint="eastAsia"/>
                <w:sz w:val="24"/>
                <w:szCs w:val="32"/>
              </w:rPr>
              <w:t>打造区域</w:t>
            </w:r>
            <w:r>
              <w:rPr>
                <w:rFonts w:cs="Times New Roman"/>
                <w:sz w:val="24"/>
                <w:szCs w:val="32"/>
              </w:rPr>
              <w:t>级</w:t>
            </w:r>
            <w:r>
              <w:rPr>
                <w:rFonts w:cs="Times New Roman" w:hint="eastAsia"/>
                <w:sz w:val="24"/>
                <w:szCs w:val="32"/>
              </w:rPr>
              <w:t>品牌展览：</w:t>
            </w:r>
            <w:r>
              <w:rPr>
                <w:rFonts w:cs="Times New Roman" w:hint="eastAsia"/>
                <w:bCs/>
                <w:sz w:val="24"/>
                <w:szCs w:val="24"/>
              </w:rPr>
              <w:t>成都市先进材料产业创新成果交易会</w:t>
            </w:r>
            <w:r>
              <w:rPr>
                <w:rFonts w:cs="Times New Roman" w:hint="eastAsia"/>
                <w:sz w:val="24"/>
                <w:szCs w:val="32"/>
              </w:rPr>
              <w:t>、</w:t>
            </w:r>
            <w:r>
              <w:rPr>
                <w:rFonts w:cs="Times New Roman" w:hint="eastAsia"/>
                <w:bCs/>
                <w:sz w:val="24"/>
                <w:szCs w:val="24"/>
              </w:rPr>
              <w:t>成都日用消费品博览会、</w:t>
            </w:r>
            <w:r>
              <w:rPr>
                <w:rFonts w:cs="Times New Roman" w:hint="eastAsia"/>
                <w:sz w:val="24"/>
                <w:szCs w:val="32"/>
              </w:rPr>
              <w:t>安仁双年展、成都奇石根艺博览会、中国成都</w:t>
            </w:r>
            <w:proofErr w:type="gramStart"/>
            <w:r>
              <w:rPr>
                <w:rFonts w:cs="Times New Roman" w:hint="eastAsia"/>
                <w:sz w:val="24"/>
                <w:szCs w:val="32"/>
              </w:rPr>
              <w:t>国际房</w:t>
            </w:r>
            <w:proofErr w:type="gramEnd"/>
            <w:r>
              <w:rPr>
                <w:rFonts w:cs="Times New Roman" w:hint="eastAsia"/>
                <w:sz w:val="24"/>
                <w:szCs w:val="32"/>
              </w:rPr>
              <w:t>车露营大会等。</w:t>
            </w:r>
          </w:p>
          <w:p w14:paraId="371C4A73" w14:textId="77777777" w:rsidR="001F2B4F" w:rsidRDefault="00000000">
            <w:pPr>
              <w:overflowPunct w:val="0"/>
              <w:snapToGrid w:val="0"/>
              <w:spacing w:line="390" w:lineRule="exact"/>
              <w:ind w:firstLineChars="200" w:firstLine="472"/>
              <w:rPr>
                <w:rFonts w:cs="Times New Roman"/>
                <w:sz w:val="24"/>
                <w:szCs w:val="32"/>
              </w:rPr>
            </w:pPr>
            <w:r>
              <w:rPr>
                <w:rFonts w:cs="Times New Roman"/>
                <w:sz w:val="24"/>
                <w:szCs w:val="32"/>
              </w:rPr>
              <w:t>3</w:t>
            </w:r>
            <w:r>
              <w:rPr>
                <w:rFonts w:cs="Times New Roman" w:hint="eastAsia"/>
                <w:sz w:val="24"/>
                <w:szCs w:val="32"/>
              </w:rPr>
              <w:t>、打造“一区</w:t>
            </w:r>
            <w:proofErr w:type="gramStart"/>
            <w:r>
              <w:rPr>
                <w:rFonts w:cs="Times New Roman" w:hint="eastAsia"/>
                <w:sz w:val="24"/>
                <w:szCs w:val="32"/>
              </w:rPr>
              <w:t>一</w:t>
            </w:r>
            <w:proofErr w:type="gramEnd"/>
            <w:r>
              <w:rPr>
                <w:rFonts w:cs="Times New Roman" w:hint="eastAsia"/>
                <w:sz w:val="24"/>
                <w:szCs w:val="32"/>
              </w:rPr>
              <w:t>品牌”。引导各产业功能区培育一批与主导产业相契合的品牌会展活动，将</w:t>
            </w:r>
            <w:proofErr w:type="gramStart"/>
            <w:r>
              <w:rPr>
                <w:rFonts w:cs="Times New Roman" w:hint="eastAsia"/>
                <w:sz w:val="24"/>
                <w:szCs w:val="32"/>
              </w:rPr>
              <w:t>优质产业</w:t>
            </w:r>
            <w:proofErr w:type="gramEnd"/>
            <w:r>
              <w:rPr>
                <w:rFonts w:cs="Times New Roman" w:hint="eastAsia"/>
                <w:sz w:val="24"/>
                <w:szCs w:val="32"/>
              </w:rPr>
              <w:t>优势转化成为自主会展</w:t>
            </w:r>
            <w:r>
              <w:rPr>
                <w:rFonts w:cs="Times New Roman" w:hint="eastAsia"/>
                <w:sz w:val="24"/>
                <w:szCs w:val="32"/>
              </w:rPr>
              <w:t>IP</w:t>
            </w:r>
            <w:r>
              <w:rPr>
                <w:rFonts w:cs="Times New Roman" w:hint="eastAsia"/>
                <w:sz w:val="24"/>
                <w:szCs w:val="32"/>
              </w:rPr>
              <w:t>，提高产业功能区集聚度和产业能级（详见附件</w:t>
            </w:r>
            <w:r>
              <w:rPr>
                <w:rFonts w:cs="Times New Roman" w:hint="eastAsia"/>
                <w:sz w:val="24"/>
                <w:szCs w:val="32"/>
              </w:rPr>
              <w:t>2</w:t>
            </w:r>
            <w:r>
              <w:rPr>
                <w:rFonts w:cs="Times New Roman" w:hint="eastAsia"/>
                <w:sz w:val="24"/>
                <w:szCs w:val="32"/>
              </w:rPr>
              <w:t>）。</w:t>
            </w:r>
          </w:p>
          <w:p w14:paraId="5360FA8A" w14:textId="77777777" w:rsidR="001F2B4F" w:rsidRDefault="00000000">
            <w:pPr>
              <w:overflowPunct w:val="0"/>
              <w:snapToGrid w:val="0"/>
              <w:spacing w:line="390" w:lineRule="exact"/>
              <w:ind w:firstLineChars="200" w:firstLine="472"/>
              <w:rPr>
                <w:rFonts w:cs="Times New Roman"/>
                <w:bCs/>
                <w:sz w:val="24"/>
                <w:szCs w:val="32"/>
              </w:rPr>
            </w:pPr>
            <w:r>
              <w:rPr>
                <w:rFonts w:cs="Times New Roman"/>
                <w:sz w:val="24"/>
                <w:szCs w:val="32"/>
              </w:rPr>
              <w:t>4</w:t>
            </w:r>
            <w:r>
              <w:rPr>
                <w:rFonts w:cs="Times New Roman" w:hint="eastAsia"/>
                <w:sz w:val="24"/>
                <w:szCs w:val="32"/>
              </w:rPr>
              <w:t>、培育新兴展览。</w:t>
            </w:r>
            <w:r>
              <w:rPr>
                <w:rFonts w:cs="Times New Roman" w:hint="eastAsia"/>
                <w:bCs/>
                <w:sz w:val="24"/>
                <w:szCs w:val="32"/>
              </w:rPr>
              <w:t>天府幸福美好生活精品展、旅游体育装备展、天府红色文化展、时尚数字消费展、巴蜀文化活化联展等。</w:t>
            </w:r>
          </w:p>
          <w:bookmarkEnd w:id="91"/>
          <w:p w14:paraId="4A785507" w14:textId="77777777" w:rsidR="001F2B4F" w:rsidRDefault="00000000">
            <w:pPr>
              <w:overflowPunct w:val="0"/>
              <w:snapToGrid w:val="0"/>
              <w:spacing w:line="390" w:lineRule="exact"/>
              <w:ind w:firstLineChars="200" w:firstLine="472"/>
            </w:pPr>
            <w:r>
              <w:rPr>
                <w:rFonts w:cs="Times New Roman"/>
                <w:sz w:val="24"/>
                <w:szCs w:val="32"/>
              </w:rPr>
              <w:t>5</w:t>
            </w:r>
            <w:r>
              <w:rPr>
                <w:rFonts w:cs="Times New Roman" w:hint="eastAsia"/>
                <w:sz w:val="24"/>
                <w:szCs w:val="32"/>
              </w:rPr>
              <w:t>、</w:t>
            </w:r>
            <w:proofErr w:type="gramStart"/>
            <w:r>
              <w:rPr>
                <w:rFonts w:cs="Times New Roman" w:hint="eastAsia"/>
                <w:sz w:val="24"/>
                <w:szCs w:val="32"/>
              </w:rPr>
              <w:t>引培知名</w:t>
            </w:r>
            <w:proofErr w:type="gramEnd"/>
            <w:r>
              <w:rPr>
                <w:rFonts w:cs="Times New Roman" w:hint="eastAsia"/>
                <w:sz w:val="24"/>
                <w:szCs w:val="32"/>
              </w:rPr>
              <w:t>会议。</w:t>
            </w:r>
            <w:r>
              <w:rPr>
                <w:rFonts w:cs="Times New Roman" w:hint="eastAsia"/>
                <w:bCs/>
                <w:sz w:val="24"/>
                <w:szCs w:val="32"/>
              </w:rPr>
              <w:t>积极争取国内</w:t>
            </w:r>
            <w:proofErr w:type="gramStart"/>
            <w:r>
              <w:rPr>
                <w:rFonts w:cs="Times New Roman" w:hint="eastAsia"/>
                <w:bCs/>
                <w:sz w:val="24"/>
                <w:szCs w:val="32"/>
              </w:rPr>
              <w:t>国际主场</w:t>
            </w:r>
            <w:proofErr w:type="gramEnd"/>
            <w:r>
              <w:rPr>
                <w:rFonts w:cs="Times New Roman" w:hint="eastAsia"/>
                <w:bCs/>
                <w:sz w:val="24"/>
                <w:szCs w:val="32"/>
              </w:rPr>
              <w:t>外交和重大涉外会议，招引</w:t>
            </w:r>
            <w:r>
              <w:rPr>
                <w:rFonts w:cs="Times New Roman" w:hint="eastAsia"/>
                <w:sz w:val="24"/>
              </w:rPr>
              <w:t>世界交通运输大会等国家大型会议和国内国际大型企业年会等，</w:t>
            </w:r>
            <w:r>
              <w:rPr>
                <w:rFonts w:cs="Times New Roman" w:hint="eastAsia"/>
                <w:bCs/>
                <w:sz w:val="24"/>
                <w:szCs w:val="32"/>
              </w:rPr>
              <w:t>提升中国</w:t>
            </w:r>
            <w:r>
              <w:rPr>
                <w:rFonts w:cs="Times New Roman"/>
                <w:bCs/>
                <w:sz w:val="24"/>
                <w:szCs w:val="32"/>
              </w:rPr>
              <w:t>-</w:t>
            </w:r>
            <w:r>
              <w:rPr>
                <w:rFonts w:cs="Times New Roman"/>
                <w:bCs/>
                <w:sz w:val="24"/>
                <w:szCs w:val="32"/>
              </w:rPr>
              <w:t>欧盟投资贸易科技</w:t>
            </w:r>
            <w:r>
              <w:rPr>
                <w:rFonts w:cs="Times New Roman"/>
                <w:bCs/>
                <w:sz w:val="24"/>
                <w:szCs w:val="32"/>
              </w:rPr>
              <w:lastRenderedPageBreak/>
              <w:t>合作洽谈会</w:t>
            </w:r>
            <w:r>
              <w:rPr>
                <w:rFonts w:cs="Times New Roman" w:hint="eastAsia"/>
                <w:bCs/>
                <w:sz w:val="24"/>
                <w:szCs w:val="32"/>
              </w:rPr>
              <w:t>等品牌会议国际影响力，持续做强</w:t>
            </w:r>
            <w:r>
              <w:rPr>
                <w:rFonts w:cs="Times New Roman" w:hint="eastAsia"/>
                <w:bCs/>
                <w:sz w:val="24"/>
                <w:szCs w:val="24"/>
              </w:rPr>
              <w:t>安仁论坛</w:t>
            </w:r>
            <w:r>
              <w:rPr>
                <w:rFonts w:cs="Times New Roman" w:hint="eastAsia"/>
                <w:sz w:val="24"/>
                <w:szCs w:val="32"/>
              </w:rPr>
              <w:t>、</w:t>
            </w:r>
            <w:r>
              <w:rPr>
                <w:rFonts w:cs="Times New Roman"/>
                <w:sz w:val="24"/>
                <w:szCs w:val="32"/>
              </w:rPr>
              <w:t>国际会议业</w:t>
            </w:r>
            <w:r>
              <w:rPr>
                <w:rFonts w:cs="Times New Roman"/>
                <w:sz w:val="24"/>
                <w:szCs w:val="32"/>
              </w:rPr>
              <w:t>CEO</w:t>
            </w:r>
            <w:r>
              <w:rPr>
                <w:rFonts w:cs="Times New Roman"/>
                <w:sz w:val="24"/>
                <w:szCs w:val="32"/>
              </w:rPr>
              <w:t>峰会</w:t>
            </w:r>
            <w:r>
              <w:rPr>
                <w:rFonts w:cs="Times New Roman" w:hint="eastAsia"/>
                <w:sz w:val="24"/>
                <w:szCs w:val="32"/>
              </w:rPr>
              <w:t>、中国中医药产业创新大会、</w:t>
            </w:r>
            <w:r>
              <w:rPr>
                <w:rFonts w:cs="Times New Roman"/>
                <w:sz w:val="24"/>
                <w:szCs w:val="32"/>
              </w:rPr>
              <w:t>成都</w:t>
            </w:r>
            <w:r>
              <w:rPr>
                <w:rFonts w:cs="Times New Roman"/>
                <w:sz w:val="24"/>
                <w:szCs w:val="32"/>
              </w:rPr>
              <w:t>·</w:t>
            </w:r>
            <w:r>
              <w:rPr>
                <w:rFonts w:cs="Times New Roman"/>
                <w:sz w:val="24"/>
                <w:szCs w:val="32"/>
              </w:rPr>
              <w:t>世界信息安全大会、</w:t>
            </w:r>
            <w:r>
              <w:rPr>
                <w:rFonts w:cs="Times New Roman" w:hint="eastAsia"/>
                <w:bCs/>
                <w:sz w:val="24"/>
                <w:szCs w:val="24"/>
              </w:rPr>
              <w:t>“亚蓉欧”全球合作伙伴大会、国际新材料</w:t>
            </w:r>
            <w:proofErr w:type="gramStart"/>
            <w:r>
              <w:rPr>
                <w:rFonts w:cs="Times New Roman" w:hint="eastAsia"/>
                <w:bCs/>
                <w:sz w:val="24"/>
                <w:szCs w:val="24"/>
              </w:rPr>
              <w:t>及增材制造</w:t>
            </w:r>
            <w:proofErr w:type="gramEnd"/>
            <w:r>
              <w:rPr>
                <w:rFonts w:cs="Times New Roman" w:hint="eastAsia"/>
                <w:bCs/>
                <w:sz w:val="24"/>
                <w:szCs w:val="24"/>
              </w:rPr>
              <w:t>产业发展论坛、中国</w:t>
            </w:r>
            <w:proofErr w:type="gramStart"/>
            <w:r>
              <w:rPr>
                <w:rFonts w:cs="Times New Roman" w:hint="eastAsia"/>
                <w:bCs/>
                <w:sz w:val="24"/>
                <w:szCs w:val="24"/>
              </w:rPr>
              <w:t>牙谷国际</w:t>
            </w:r>
            <w:proofErr w:type="gramEnd"/>
            <w:r>
              <w:rPr>
                <w:rFonts w:cs="Times New Roman" w:hint="eastAsia"/>
                <w:bCs/>
                <w:sz w:val="24"/>
                <w:szCs w:val="24"/>
              </w:rPr>
              <w:t>峰会、中国西部海外高新科技人才洽谈会、“一带一路”华商峰会等，</w:t>
            </w:r>
            <w:r>
              <w:rPr>
                <w:rFonts w:cs="Times New Roman" w:hint="eastAsia"/>
                <w:bCs/>
                <w:sz w:val="24"/>
                <w:szCs w:val="32"/>
              </w:rPr>
              <w:t>培育壮大全球跨境电商成都大会、中国西部智能信息高峰论坛、中国（成都）时尚产业大会</w:t>
            </w:r>
            <w:r>
              <w:rPr>
                <w:rFonts w:cs="Times New Roman" w:hint="eastAsia"/>
                <w:sz w:val="24"/>
                <w:szCs w:val="32"/>
              </w:rPr>
              <w:t>等。</w:t>
            </w:r>
          </w:p>
        </w:tc>
      </w:tr>
    </w:tbl>
    <w:p w14:paraId="385FB998" w14:textId="77777777" w:rsidR="001F2B4F" w:rsidRDefault="00000000">
      <w:pPr>
        <w:overflowPunct w:val="0"/>
        <w:snapToGrid w:val="0"/>
        <w:spacing w:line="579" w:lineRule="exact"/>
        <w:ind w:firstLineChars="200" w:firstLine="632"/>
        <w:rPr>
          <w:rFonts w:cs="楷体_GB2312"/>
          <w:bCs/>
          <w:szCs w:val="32"/>
        </w:rPr>
      </w:pPr>
      <w:r>
        <w:rPr>
          <w:rFonts w:eastAsia="方正楷体_GBK" w:cs="方正楷体_GBK" w:hint="eastAsia"/>
          <w:szCs w:val="32"/>
          <w:lang w:val="zh-TW"/>
        </w:rPr>
        <w:lastRenderedPageBreak/>
        <w:t>实施名馆提升行动。</w:t>
      </w:r>
      <w:r>
        <w:rPr>
          <w:rFonts w:cs="楷体_GB2312" w:hint="eastAsia"/>
          <w:bCs/>
          <w:szCs w:val="32"/>
        </w:rPr>
        <w:t>打造专业场馆体系，提升中国西部国际博览城、成都世纪城新国际会展中心等重大场馆的载体功能，增强重大会展活动带动效益，推动场馆智慧化建设，提高场馆利用率；高质量建设国际会都岛、中国天府农业博览园、淮州新城国际会展中心等场馆，力争达到国际认证水平。建设会议型酒店集群，鼓励世外桃源酒店、龙之梦大酒店等会议酒店加快完善酒店接待、翻译等会议服务功能，借助信息化手段提高服务能力与效率，增强成都举办国际化、专业化会议的承载力。拓展会展展示新空间，复合利用城市绿道、公园、体育馆、产业园区等特色载体，举办特色会展活动、开展常态展示贸易、优质展品推介。</w:t>
      </w:r>
    </w:p>
    <w:tbl>
      <w:tblPr>
        <w:tblStyle w:val="210"/>
        <w:tblW w:w="8834" w:type="dxa"/>
        <w:jc w:val="center"/>
        <w:tblLayout w:type="fixed"/>
        <w:tblLook w:val="04A0" w:firstRow="1" w:lastRow="0" w:firstColumn="1" w:lastColumn="0" w:noHBand="0" w:noVBand="1"/>
      </w:tblPr>
      <w:tblGrid>
        <w:gridCol w:w="8834"/>
      </w:tblGrid>
      <w:tr w:rsidR="001F2B4F" w14:paraId="36F16BA1" w14:textId="77777777">
        <w:trPr>
          <w:trHeight w:val="567"/>
          <w:tblHeader/>
          <w:jc w:val="center"/>
        </w:trPr>
        <w:tc>
          <w:tcPr>
            <w:tcW w:w="8834" w:type="dxa"/>
            <w:vAlign w:val="center"/>
          </w:tcPr>
          <w:p w14:paraId="4B5FD815" w14:textId="77777777" w:rsidR="001F2B4F" w:rsidRDefault="00000000">
            <w:pPr>
              <w:overflowPunct w:val="0"/>
              <w:rPr>
                <w:rFonts w:cs="Times New Roman"/>
                <w:kern w:val="0"/>
                <w:sz w:val="24"/>
                <w:szCs w:val="32"/>
              </w:rPr>
            </w:pPr>
            <w:r>
              <w:rPr>
                <w:rFonts w:eastAsia="方正黑体_GBK" w:cs="Times New Roman"/>
                <w:sz w:val="28"/>
                <w:szCs w:val="30"/>
              </w:rPr>
              <w:t>专栏</w:t>
            </w:r>
            <w:r>
              <w:rPr>
                <w:rFonts w:eastAsia="方正黑体_GBK" w:cs="Times New Roman" w:hint="eastAsia"/>
                <w:sz w:val="28"/>
                <w:szCs w:val="30"/>
              </w:rPr>
              <w:t>7</w:t>
            </w:r>
            <w:r>
              <w:rPr>
                <w:rFonts w:eastAsia="方正黑体_GBK" w:cs="Times New Roman"/>
                <w:sz w:val="28"/>
                <w:szCs w:val="30"/>
              </w:rPr>
              <w:t xml:space="preserve">  </w:t>
            </w:r>
            <w:r>
              <w:rPr>
                <w:rFonts w:eastAsia="方正黑体_GBK" w:cs="Times New Roman" w:hint="eastAsia"/>
                <w:sz w:val="28"/>
                <w:szCs w:val="30"/>
              </w:rPr>
              <w:t>名馆建设及提升</w:t>
            </w:r>
          </w:p>
        </w:tc>
      </w:tr>
      <w:tr w:rsidR="001F2B4F" w14:paraId="5CB5021D" w14:textId="77777777">
        <w:trPr>
          <w:jc w:val="center"/>
        </w:trPr>
        <w:tc>
          <w:tcPr>
            <w:tcW w:w="8834" w:type="dxa"/>
            <w:vAlign w:val="center"/>
          </w:tcPr>
          <w:p w14:paraId="66BADCB2"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1</w:t>
            </w:r>
            <w:r>
              <w:rPr>
                <w:rFonts w:cs="Times New Roman" w:hint="eastAsia"/>
                <w:bCs/>
                <w:kern w:val="0"/>
                <w:sz w:val="24"/>
                <w:szCs w:val="24"/>
              </w:rPr>
              <w:t>、</w:t>
            </w:r>
            <w:r>
              <w:rPr>
                <w:rFonts w:cs="Times New Roman"/>
                <w:bCs/>
                <w:kern w:val="0"/>
                <w:sz w:val="24"/>
                <w:szCs w:val="24"/>
              </w:rPr>
              <w:t>专业场馆</w:t>
            </w:r>
          </w:p>
          <w:p w14:paraId="29B1975F"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中国西部国际博览城</w:t>
            </w:r>
            <w:r>
              <w:rPr>
                <w:rFonts w:cs="Times New Roman" w:hint="eastAsia"/>
                <w:bCs/>
                <w:kern w:val="0"/>
                <w:sz w:val="24"/>
                <w:szCs w:val="24"/>
              </w:rPr>
              <w:t>是中国西部国际博览会永久会址</w:t>
            </w:r>
            <w:r>
              <w:rPr>
                <w:rFonts w:cs="Times New Roman"/>
                <w:bCs/>
                <w:kern w:val="0"/>
                <w:sz w:val="24"/>
                <w:szCs w:val="24"/>
              </w:rPr>
              <w:t>，</w:t>
            </w:r>
            <w:r>
              <w:rPr>
                <w:rFonts w:cs="Times New Roman" w:hint="eastAsia"/>
                <w:bCs/>
                <w:kern w:val="0"/>
                <w:sz w:val="24"/>
                <w:szCs w:val="24"/>
              </w:rPr>
              <w:t>其中</w:t>
            </w:r>
            <w:r>
              <w:rPr>
                <w:rFonts w:cs="Times New Roman"/>
                <w:bCs/>
                <w:kern w:val="0"/>
                <w:sz w:val="24"/>
                <w:szCs w:val="24"/>
              </w:rPr>
              <w:t>展览展示中心室外展场</w:t>
            </w:r>
            <w:r>
              <w:rPr>
                <w:rFonts w:cs="Times New Roman"/>
                <w:bCs/>
                <w:kern w:val="0"/>
                <w:sz w:val="24"/>
                <w:szCs w:val="24"/>
              </w:rPr>
              <w:t>11</w:t>
            </w:r>
            <w:r>
              <w:rPr>
                <w:rFonts w:cs="Times New Roman"/>
                <w:bCs/>
                <w:kern w:val="0"/>
                <w:sz w:val="24"/>
                <w:szCs w:val="24"/>
              </w:rPr>
              <w:t>万平方米，</w:t>
            </w:r>
            <w:proofErr w:type="gramStart"/>
            <w:r>
              <w:rPr>
                <w:rFonts w:cs="Times New Roman"/>
                <w:bCs/>
                <w:kern w:val="0"/>
                <w:sz w:val="24"/>
                <w:szCs w:val="24"/>
              </w:rPr>
              <w:t>室内净展面积</w:t>
            </w:r>
            <w:proofErr w:type="gramEnd"/>
            <w:r>
              <w:rPr>
                <w:rFonts w:cs="Times New Roman"/>
                <w:bCs/>
                <w:kern w:val="0"/>
                <w:sz w:val="24"/>
                <w:szCs w:val="24"/>
              </w:rPr>
              <w:t>20.5</w:t>
            </w:r>
            <w:r>
              <w:rPr>
                <w:rFonts w:cs="Times New Roman"/>
                <w:bCs/>
                <w:kern w:val="0"/>
                <w:sz w:val="24"/>
                <w:szCs w:val="24"/>
              </w:rPr>
              <w:t>万平方米；天府国际会议中心拥有会议及宴会功能空间</w:t>
            </w:r>
            <w:r>
              <w:rPr>
                <w:rFonts w:cs="Times New Roman"/>
                <w:bCs/>
                <w:kern w:val="0"/>
                <w:sz w:val="24"/>
                <w:szCs w:val="24"/>
              </w:rPr>
              <w:t>2.4</w:t>
            </w:r>
            <w:r>
              <w:rPr>
                <w:rFonts w:cs="Times New Roman"/>
                <w:bCs/>
                <w:kern w:val="0"/>
                <w:sz w:val="24"/>
                <w:szCs w:val="24"/>
              </w:rPr>
              <w:t>万平方米。</w:t>
            </w:r>
            <w:r>
              <w:rPr>
                <w:rFonts w:cs="Times New Roman" w:hint="eastAsia"/>
                <w:bCs/>
                <w:kern w:val="0"/>
                <w:sz w:val="24"/>
                <w:szCs w:val="24"/>
              </w:rPr>
              <w:t>加快</w:t>
            </w:r>
            <w:r>
              <w:rPr>
                <w:rFonts w:cs="Times New Roman"/>
                <w:bCs/>
                <w:kern w:val="0"/>
                <w:sz w:val="24"/>
                <w:szCs w:val="24"/>
              </w:rPr>
              <w:t>提升场馆运营水平和能级，推动场馆全场景、运营全生态智慧升级和绿色发展，拓展大型演艺、赛事、节庆活动市场。</w:t>
            </w:r>
          </w:p>
          <w:p w14:paraId="1D08D0E9"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成都世纪城新国际会展中心是目前中国展示条件、利用效能最好的场馆之一，室内展览面积共约</w:t>
            </w:r>
            <w:r>
              <w:rPr>
                <w:rFonts w:cs="Times New Roman"/>
                <w:bCs/>
                <w:kern w:val="0"/>
                <w:sz w:val="24"/>
                <w:szCs w:val="24"/>
              </w:rPr>
              <w:t>11</w:t>
            </w:r>
            <w:r>
              <w:rPr>
                <w:rFonts w:cs="Times New Roman"/>
                <w:bCs/>
                <w:kern w:val="0"/>
                <w:sz w:val="24"/>
                <w:szCs w:val="24"/>
              </w:rPr>
              <w:t>万平方米，可搭建</w:t>
            </w:r>
            <w:r>
              <w:rPr>
                <w:rFonts w:cs="Times New Roman"/>
                <w:bCs/>
                <w:kern w:val="0"/>
                <w:sz w:val="24"/>
                <w:szCs w:val="24"/>
              </w:rPr>
              <w:t>5600</w:t>
            </w:r>
            <w:r>
              <w:rPr>
                <w:rFonts w:cs="Times New Roman"/>
                <w:bCs/>
                <w:kern w:val="0"/>
                <w:sz w:val="24"/>
                <w:szCs w:val="24"/>
              </w:rPr>
              <w:t>个国际标准展位。加快引进国内外先进会展设备，增加场馆智慧化、便利化服务设施，提升场馆国际服务水平，培育国际顶尖</w:t>
            </w:r>
            <w:r>
              <w:rPr>
                <w:rFonts w:cs="Times New Roman" w:hint="eastAsia"/>
                <w:bCs/>
                <w:kern w:val="0"/>
                <w:sz w:val="24"/>
                <w:szCs w:val="24"/>
              </w:rPr>
              <w:t>会展</w:t>
            </w:r>
            <w:r>
              <w:rPr>
                <w:rFonts w:cs="Times New Roman"/>
                <w:bCs/>
                <w:kern w:val="0"/>
                <w:sz w:val="24"/>
                <w:szCs w:val="24"/>
              </w:rPr>
              <w:t>品牌。</w:t>
            </w:r>
          </w:p>
          <w:p w14:paraId="7643335D"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lastRenderedPageBreak/>
              <w:t>国际会</w:t>
            </w:r>
            <w:proofErr w:type="gramStart"/>
            <w:r>
              <w:rPr>
                <w:rFonts w:cs="Times New Roman"/>
                <w:bCs/>
                <w:kern w:val="0"/>
                <w:sz w:val="24"/>
                <w:szCs w:val="24"/>
              </w:rPr>
              <w:t>都岛肩负国家主场</w:t>
            </w:r>
            <w:proofErr w:type="gramEnd"/>
            <w:r>
              <w:rPr>
                <w:rFonts w:cs="Times New Roman"/>
                <w:bCs/>
                <w:kern w:val="0"/>
                <w:sz w:val="24"/>
                <w:szCs w:val="24"/>
              </w:rPr>
              <w:t>外交功能，其中国际会议中心建筑面积约</w:t>
            </w:r>
            <w:r>
              <w:rPr>
                <w:rFonts w:cs="Times New Roman"/>
                <w:bCs/>
                <w:kern w:val="0"/>
                <w:sz w:val="24"/>
                <w:szCs w:val="24"/>
              </w:rPr>
              <w:t>1.5</w:t>
            </w:r>
            <w:r>
              <w:rPr>
                <w:rFonts w:cs="Times New Roman"/>
                <w:bCs/>
                <w:kern w:val="0"/>
                <w:sz w:val="24"/>
                <w:szCs w:val="24"/>
              </w:rPr>
              <w:t>万平方米，国宾馆建筑面积约</w:t>
            </w:r>
            <w:r>
              <w:rPr>
                <w:rFonts w:cs="Times New Roman"/>
                <w:bCs/>
                <w:kern w:val="0"/>
                <w:sz w:val="24"/>
                <w:szCs w:val="24"/>
              </w:rPr>
              <w:t>2.5</w:t>
            </w:r>
            <w:r>
              <w:rPr>
                <w:rFonts w:cs="Times New Roman"/>
                <w:bCs/>
                <w:kern w:val="0"/>
                <w:sz w:val="24"/>
                <w:szCs w:val="24"/>
              </w:rPr>
              <w:t>万平方米。加快健全会议、会展接待设施，提升会展国际服务水平，打造</w:t>
            </w:r>
            <w:proofErr w:type="gramStart"/>
            <w:r>
              <w:rPr>
                <w:rFonts w:cs="Times New Roman"/>
                <w:bCs/>
                <w:kern w:val="0"/>
                <w:sz w:val="24"/>
                <w:szCs w:val="24"/>
              </w:rPr>
              <w:t>集会议</w:t>
            </w:r>
            <w:proofErr w:type="gramEnd"/>
            <w:r>
              <w:rPr>
                <w:rFonts w:cs="Times New Roman"/>
                <w:bCs/>
                <w:kern w:val="0"/>
                <w:sz w:val="24"/>
                <w:szCs w:val="24"/>
              </w:rPr>
              <w:t>会展、高端酒店、滨湖休闲、文化旅游为一体的国际级会议中心。</w:t>
            </w:r>
          </w:p>
          <w:p w14:paraId="0B1663E2" w14:textId="77777777" w:rsidR="001F2B4F" w:rsidRDefault="00000000">
            <w:pPr>
              <w:overflowPunct w:val="0"/>
              <w:snapToGrid w:val="0"/>
              <w:spacing w:line="400" w:lineRule="exact"/>
              <w:ind w:firstLineChars="200" w:firstLine="472"/>
              <w:rPr>
                <w:rFonts w:cs="Times New Roman"/>
                <w:bCs/>
                <w:kern w:val="0"/>
                <w:sz w:val="24"/>
                <w:szCs w:val="24"/>
              </w:rPr>
            </w:pPr>
            <w:bookmarkStart w:id="93" w:name="_Hlk93086763"/>
            <w:r>
              <w:rPr>
                <w:rFonts w:cs="Times New Roman"/>
                <w:bCs/>
                <w:kern w:val="0"/>
                <w:sz w:val="24"/>
                <w:szCs w:val="24"/>
              </w:rPr>
              <w:t>空港商务展示展销综合体</w:t>
            </w:r>
            <w:bookmarkEnd w:id="93"/>
            <w:r>
              <w:rPr>
                <w:rFonts w:cs="Times New Roman" w:hint="eastAsia"/>
                <w:bCs/>
                <w:kern w:val="0"/>
                <w:sz w:val="24"/>
                <w:szCs w:val="24"/>
              </w:rPr>
              <w:t>拟</w:t>
            </w:r>
            <w:r>
              <w:rPr>
                <w:rFonts w:cs="Times New Roman"/>
                <w:bCs/>
                <w:kern w:val="0"/>
                <w:sz w:val="24"/>
                <w:szCs w:val="24"/>
              </w:rPr>
              <w:t>建设</w:t>
            </w:r>
            <w:r>
              <w:rPr>
                <w:rFonts w:cs="Times New Roman"/>
                <w:bCs/>
                <w:kern w:val="0"/>
                <w:sz w:val="24"/>
                <w:szCs w:val="24"/>
              </w:rPr>
              <w:t>3100</w:t>
            </w:r>
            <w:r>
              <w:rPr>
                <w:rFonts w:cs="Times New Roman"/>
                <w:bCs/>
                <w:kern w:val="0"/>
                <w:sz w:val="24"/>
                <w:szCs w:val="24"/>
              </w:rPr>
              <w:t>平方米的大展厅、</w:t>
            </w:r>
            <w:r>
              <w:rPr>
                <w:rFonts w:cs="Times New Roman"/>
                <w:bCs/>
                <w:kern w:val="0"/>
                <w:sz w:val="24"/>
                <w:szCs w:val="24"/>
              </w:rPr>
              <w:t>3100</w:t>
            </w:r>
            <w:r>
              <w:rPr>
                <w:rFonts w:cs="Times New Roman"/>
                <w:bCs/>
                <w:kern w:val="0"/>
                <w:sz w:val="24"/>
                <w:szCs w:val="24"/>
              </w:rPr>
              <w:t>平方米的多功能厅、</w:t>
            </w:r>
            <w:r>
              <w:rPr>
                <w:rFonts w:cs="Times New Roman"/>
                <w:bCs/>
                <w:kern w:val="0"/>
                <w:sz w:val="24"/>
                <w:szCs w:val="24"/>
              </w:rPr>
              <w:t>5000</w:t>
            </w:r>
            <w:r>
              <w:rPr>
                <w:rFonts w:cs="Times New Roman"/>
                <w:bCs/>
                <w:kern w:val="0"/>
                <w:sz w:val="24"/>
                <w:szCs w:val="24"/>
              </w:rPr>
              <w:t>平方米的大宴会厅，可容纳</w:t>
            </w:r>
            <w:r>
              <w:rPr>
                <w:rFonts w:cs="Times New Roman"/>
                <w:bCs/>
                <w:kern w:val="0"/>
                <w:sz w:val="24"/>
                <w:szCs w:val="24"/>
              </w:rPr>
              <w:t>6000</w:t>
            </w:r>
            <w:r>
              <w:rPr>
                <w:rFonts w:cs="Times New Roman"/>
                <w:bCs/>
                <w:kern w:val="0"/>
                <w:sz w:val="24"/>
                <w:szCs w:val="24"/>
              </w:rPr>
              <w:t>人参会。</w:t>
            </w:r>
            <w:r>
              <w:rPr>
                <w:rFonts w:cs="Times New Roman" w:hint="eastAsia"/>
                <w:bCs/>
                <w:kern w:val="0"/>
                <w:sz w:val="24"/>
                <w:szCs w:val="24"/>
              </w:rPr>
              <w:t>配套</w:t>
            </w:r>
            <w:r>
              <w:rPr>
                <w:rFonts w:cs="Times New Roman"/>
                <w:bCs/>
                <w:kern w:val="0"/>
                <w:sz w:val="24"/>
                <w:szCs w:val="24"/>
              </w:rPr>
              <w:t>建设国际会议中心、城市候机厅办公楼宇、四星级酒店、商业街区，结合临近双流机场的区位优势，开展航空展会、商务商贸等活动。</w:t>
            </w:r>
          </w:p>
          <w:p w14:paraId="75029A8F"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中国天府农业</w:t>
            </w:r>
            <w:proofErr w:type="gramStart"/>
            <w:r>
              <w:rPr>
                <w:rFonts w:cs="Times New Roman"/>
                <w:bCs/>
                <w:kern w:val="0"/>
                <w:sz w:val="24"/>
                <w:szCs w:val="24"/>
              </w:rPr>
              <w:t>博览园农博</w:t>
            </w:r>
            <w:proofErr w:type="gramEnd"/>
            <w:r>
              <w:rPr>
                <w:rFonts w:cs="Times New Roman"/>
                <w:bCs/>
                <w:kern w:val="0"/>
                <w:sz w:val="24"/>
                <w:szCs w:val="24"/>
              </w:rPr>
              <w:t>主展馆</w:t>
            </w:r>
            <w:r>
              <w:rPr>
                <w:rFonts w:cs="Times New Roman"/>
                <w:bCs/>
                <w:kern w:val="0"/>
                <w:sz w:val="24"/>
                <w:szCs w:val="24"/>
              </w:rPr>
              <w:t>1</w:t>
            </w:r>
            <w:r>
              <w:rPr>
                <w:rFonts w:cs="Times New Roman"/>
                <w:bCs/>
                <w:kern w:val="0"/>
                <w:sz w:val="24"/>
                <w:szCs w:val="24"/>
              </w:rPr>
              <w:t>号馆天府农</w:t>
            </w:r>
            <w:proofErr w:type="gramStart"/>
            <w:r>
              <w:rPr>
                <w:rFonts w:cs="Times New Roman"/>
                <w:bCs/>
                <w:kern w:val="0"/>
                <w:sz w:val="24"/>
                <w:szCs w:val="24"/>
              </w:rPr>
              <w:t>博国际</w:t>
            </w:r>
            <w:proofErr w:type="gramEnd"/>
            <w:r>
              <w:rPr>
                <w:rFonts w:cs="Times New Roman"/>
                <w:bCs/>
                <w:kern w:val="0"/>
                <w:sz w:val="24"/>
                <w:szCs w:val="24"/>
              </w:rPr>
              <w:t>会议中心会议室</w:t>
            </w:r>
            <w:r>
              <w:rPr>
                <w:rFonts w:cs="Times New Roman"/>
                <w:bCs/>
                <w:kern w:val="0"/>
                <w:sz w:val="24"/>
                <w:szCs w:val="24"/>
              </w:rPr>
              <w:t>25</w:t>
            </w:r>
            <w:r>
              <w:rPr>
                <w:rFonts w:cs="Times New Roman"/>
                <w:bCs/>
                <w:kern w:val="0"/>
                <w:sz w:val="24"/>
                <w:szCs w:val="24"/>
              </w:rPr>
              <w:t>间，最大会议室</w:t>
            </w:r>
            <w:r>
              <w:rPr>
                <w:rFonts w:cs="Times New Roman"/>
                <w:bCs/>
                <w:kern w:val="0"/>
                <w:sz w:val="24"/>
                <w:szCs w:val="24"/>
              </w:rPr>
              <w:t>1800</w:t>
            </w:r>
            <w:r>
              <w:rPr>
                <w:rFonts w:cs="Times New Roman"/>
                <w:bCs/>
                <w:kern w:val="0"/>
                <w:sz w:val="24"/>
                <w:szCs w:val="24"/>
              </w:rPr>
              <w:t>平方米；</w:t>
            </w:r>
            <w:proofErr w:type="gramStart"/>
            <w:r>
              <w:rPr>
                <w:rFonts w:cs="Times New Roman"/>
                <w:bCs/>
                <w:kern w:val="0"/>
                <w:sz w:val="24"/>
                <w:szCs w:val="24"/>
              </w:rPr>
              <w:t>2</w:t>
            </w:r>
            <w:r>
              <w:rPr>
                <w:rFonts w:cs="Times New Roman"/>
                <w:bCs/>
                <w:kern w:val="0"/>
                <w:sz w:val="24"/>
                <w:szCs w:val="24"/>
              </w:rPr>
              <w:t>、</w:t>
            </w:r>
            <w:r>
              <w:rPr>
                <w:rFonts w:cs="Times New Roman"/>
                <w:bCs/>
                <w:kern w:val="0"/>
                <w:sz w:val="24"/>
                <w:szCs w:val="24"/>
              </w:rPr>
              <w:t>3</w:t>
            </w:r>
            <w:r>
              <w:rPr>
                <w:rFonts w:cs="Times New Roman"/>
                <w:bCs/>
                <w:kern w:val="0"/>
                <w:sz w:val="24"/>
                <w:szCs w:val="24"/>
              </w:rPr>
              <w:t>号馆农博</w:t>
            </w:r>
            <w:proofErr w:type="gramEnd"/>
            <w:r>
              <w:rPr>
                <w:rFonts w:cs="Times New Roman"/>
                <w:bCs/>
                <w:kern w:val="0"/>
                <w:sz w:val="24"/>
                <w:szCs w:val="24"/>
              </w:rPr>
              <w:t>展场展区面积</w:t>
            </w:r>
            <w:r>
              <w:rPr>
                <w:rFonts w:cs="Times New Roman"/>
                <w:bCs/>
                <w:kern w:val="0"/>
                <w:sz w:val="24"/>
                <w:szCs w:val="24"/>
              </w:rPr>
              <w:t>1</w:t>
            </w:r>
            <w:r>
              <w:rPr>
                <w:rFonts w:cs="Times New Roman"/>
                <w:bCs/>
                <w:kern w:val="0"/>
                <w:sz w:val="24"/>
                <w:szCs w:val="24"/>
              </w:rPr>
              <w:t>万平方米，室外展区面积</w:t>
            </w:r>
            <w:r>
              <w:rPr>
                <w:rFonts w:cs="Times New Roman"/>
                <w:bCs/>
                <w:kern w:val="0"/>
                <w:sz w:val="24"/>
                <w:szCs w:val="24"/>
              </w:rPr>
              <w:t>2</w:t>
            </w:r>
            <w:r>
              <w:rPr>
                <w:rFonts w:cs="Times New Roman"/>
                <w:bCs/>
                <w:kern w:val="0"/>
                <w:sz w:val="24"/>
                <w:szCs w:val="24"/>
              </w:rPr>
              <w:t>万平方米。结合四川省现代农业</w:t>
            </w:r>
            <w:r>
              <w:rPr>
                <w:rFonts w:cs="Times New Roman"/>
                <w:bCs/>
                <w:kern w:val="0"/>
                <w:sz w:val="24"/>
                <w:szCs w:val="24"/>
              </w:rPr>
              <w:t>“10+3”</w:t>
            </w:r>
            <w:r>
              <w:rPr>
                <w:rFonts w:cs="Times New Roman"/>
                <w:bCs/>
                <w:kern w:val="0"/>
                <w:sz w:val="24"/>
                <w:szCs w:val="24"/>
              </w:rPr>
              <w:t>产业体系，开展产业经济、展览发布、科普教育、文化创意等业态功能，打造产商融合化、田园场景化、沉浸体验式的农业博览新高地。</w:t>
            </w:r>
          </w:p>
          <w:p w14:paraId="7FF04865" w14:textId="77777777" w:rsidR="001F2B4F" w:rsidRDefault="00000000">
            <w:pPr>
              <w:overflowPunct w:val="0"/>
              <w:snapToGrid w:val="0"/>
              <w:spacing w:line="400" w:lineRule="exact"/>
              <w:ind w:firstLineChars="200" w:firstLine="472"/>
              <w:rPr>
                <w:rFonts w:cs="Times New Roman"/>
                <w:bCs/>
                <w:kern w:val="0"/>
                <w:sz w:val="24"/>
                <w:szCs w:val="24"/>
              </w:rPr>
            </w:pPr>
            <w:proofErr w:type="gramStart"/>
            <w:r>
              <w:rPr>
                <w:rFonts w:cs="Times New Roman"/>
                <w:bCs/>
                <w:kern w:val="0"/>
                <w:sz w:val="24"/>
                <w:szCs w:val="24"/>
              </w:rPr>
              <w:t>成都融创国际</w:t>
            </w:r>
            <w:proofErr w:type="gramEnd"/>
            <w:r>
              <w:rPr>
                <w:rFonts w:cs="Times New Roman"/>
                <w:bCs/>
                <w:kern w:val="0"/>
                <w:sz w:val="24"/>
                <w:szCs w:val="24"/>
              </w:rPr>
              <w:t>会议中心拥有约</w:t>
            </w:r>
            <w:r>
              <w:rPr>
                <w:rFonts w:cs="Times New Roman"/>
                <w:bCs/>
                <w:kern w:val="0"/>
                <w:sz w:val="24"/>
                <w:szCs w:val="24"/>
              </w:rPr>
              <w:t>2000</w:t>
            </w:r>
            <w:r>
              <w:rPr>
                <w:rFonts w:cs="Times New Roman"/>
                <w:bCs/>
                <w:kern w:val="0"/>
                <w:sz w:val="24"/>
                <w:szCs w:val="24"/>
              </w:rPr>
              <w:t>平方米的无柱式宴会厅和</w:t>
            </w:r>
            <w:r>
              <w:rPr>
                <w:rFonts w:cs="Times New Roman"/>
                <w:bCs/>
                <w:kern w:val="0"/>
                <w:sz w:val="24"/>
                <w:szCs w:val="24"/>
              </w:rPr>
              <w:t>13</w:t>
            </w:r>
            <w:r>
              <w:rPr>
                <w:rFonts w:cs="Times New Roman"/>
                <w:bCs/>
                <w:kern w:val="0"/>
                <w:sz w:val="24"/>
                <w:szCs w:val="24"/>
              </w:rPr>
              <w:t>间多功能会议厅。加强与都江堰、青城山等旅游景区合作，瞄准国内国际高端市场，发展会奖旅游，承接全国</w:t>
            </w:r>
            <w:r>
              <w:rPr>
                <w:rFonts w:cs="Times New Roman"/>
                <w:bCs/>
                <w:kern w:val="0"/>
                <w:sz w:val="24"/>
                <w:szCs w:val="24"/>
              </w:rPr>
              <w:t>500</w:t>
            </w:r>
            <w:r>
              <w:rPr>
                <w:rFonts w:cs="Times New Roman"/>
                <w:bCs/>
                <w:kern w:val="0"/>
                <w:sz w:val="24"/>
                <w:szCs w:val="24"/>
              </w:rPr>
              <w:t>强企业年会等，打造国际会</w:t>
            </w:r>
            <w:proofErr w:type="gramStart"/>
            <w:r>
              <w:rPr>
                <w:rFonts w:cs="Times New Roman"/>
                <w:bCs/>
                <w:kern w:val="0"/>
                <w:sz w:val="24"/>
                <w:szCs w:val="24"/>
              </w:rPr>
              <w:t>奖旅游</w:t>
            </w:r>
            <w:proofErr w:type="gramEnd"/>
            <w:r>
              <w:rPr>
                <w:rFonts w:cs="Times New Roman"/>
                <w:bCs/>
                <w:kern w:val="0"/>
                <w:sz w:val="24"/>
                <w:szCs w:val="24"/>
              </w:rPr>
              <w:t>目的地。</w:t>
            </w:r>
          </w:p>
          <w:p w14:paraId="401652FC"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淮州新城国际会展中心室内展览总面积约</w:t>
            </w:r>
            <w:r>
              <w:rPr>
                <w:rFonts w:cs="Times New Roman"/>
                <w:bCs/>
                <w:kern w:val="0"/>
                <w:sz w:val="24"/>
                <w:szCs w:val="24"/>
              </w:rPr>
              <w:t>1.62</w:t>
            </w:r>
            <w:r>
              <w:rPr>
                <w:rFonts w:cs="Times New Roman"/>
                <w:bCs/>
                <w:kern w:val="0"/>
                <w:sz w:val="24"/>
                <w:szCs w:val="24"/>
              </w:rPr>
              <w:t>万平方米；三层为会议区，会议面积</w:t>
            </w:r>
            <w:r>
              <w:rPr>
                <w:rFonts w:cs="Times New Roman"/>
                <w:bCs/>
                <w:kern w:val="0"/>
                <w:sz w:val="24"/>
                <w:szCs w:val="24"/>
              </w:rPr>
              <w:t>1900</w:t>
            </w:r>
            <w:r>
              <w:rPr>
                <w:rFonts w:cs="Times New Roman"/>
                <w:bCs/>
                <w:kern w:val="0"/>
                <w:sz w:val="24"/>
                <w:szCs w:val="24"/>
              </w:rPr>
              <w:t>平方米，多功能厅约</w:t>
            </w:r>
            <w:r>
              <w:rPr>
                <w:rFonts w:cs="Times New Roman"/>
                <w:bCs/>
                <w:kern w:val="0"/>
                <w:sz w:val="24"/>
                <w:szCs w:val="24"/>
              </w:rPr>
              <w:t>1300</w:t>
            </w:r>
            <w:r>
              <w:rPr>
                <w:rFonts w:cs="Times New Roman"/>
                <w:bCs/>
                <w:kern w:val="0"/>
                <w:sz w:val="24"/>
                <w:szCs w:val="24"/>
              </w:rPr>
              <w:t>平方米。服务于大型航空产业会议、展览活动，加快引进国内外知名展会项目、国内知名会展业运营公司。</w:t>
            </w:r>
          </w:p>
          <w:p w14:paraId="337A76F9"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2</w:t>
            </w:r>
            <w:r>
              <w:rPr>
                <w:rFonts w:cs="Times New Roman"/>
                <w:bCs/>
                <w:kern w:val="0"/>
                <w:sz w:val="24"/>
                <w:szCs w:val="24"/>
              </w:rPr>
              <w:t>、会议型酒店</w:t>
            </w:r>
          </w:p>
          <w:p w14:paraId="7C32F7BC"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成都世纪城天堂洲际大饭店具备</w:t>
            </w:r>
            <w:r>
              <w:rPr>
                <w:rFonts w:cs="Times New Roman"/>
                <w:bCs/>
                <w:kern w:val="0"/>
                <w:sz w:val="24"/>
                <w:szCs w:val="24"/>
              </w:rPr>
              <w:t>24</w:t>
            </w:r>
            <w:r>
              <w:rPr>
                <w:rFonts w:cs="Times New Roman"/>
                <w:bCs/>
                <w:kern w:val="0"/>
                <w:sz w:val="24"/>
                <w:szCs w:val="24"/>
              </w:rPr>
              <w:t>个面积不同的多功能厅和</w:t>
            </w:r>
            <w:r>
              <w:rPr>
                <w:rFonts w:cs="Times New Roman"/>
                <w:bCs/>
                <w:kern w:val="0"/>
                <w:sz w:val="24"/>
                <w:szCs w:val="24"/>
              </w:rPr>
              <w:t>555</w:t>
            </w:r>
            <w:r>
              <w:rPr>
                <w:rFonts w:cs="Times New Roman"/>
                <w:bCs/>
                <w:kern w:val="0"/>
                <w:sz w:val="24"/>
                <w:szCs w:val="24"/>
              </w:rPr>
              <w:t>间独具中式特色的客房和套房。承接世纪城会展中心溢出效应，争取大型展览配套的相关会议；与周边公园绿地联合举办户外展览、节庆活动，提高场地利用率。</w:t>
            </w:r>
          </w:p>
          <w:p w14:paraId="4A56D9DD"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四川锦江宾馆素有</w:t>
            </w:r>
            <w:r>
              <w:rPr>
                <w:rFonts w:cs="Times New Roman"/>
                <w:bCs/>
                <w:kern w:val="0"/>
                <w:sz w:val="24"/>
                <w:szCs w:val="24"/>
              </w:rPr>
              <w:t>“</w:t>
            </w:r>
            <w:r>
              <w:rPr>
                <w:rFonts w:cs="Times New Roman"/>
                <w:bCs/>
                <w:kern w:val="0"/>
                <w:sz w:val="24"/>
                <w:szCs w:val="24"/>
              </w:rPr>
              <w:t>花园式酒店</w:t>
            </w:r>
            <w:r>
              <w:rPr>
                <w:rFonts w:cs="Times New Roman"/>
                <w:bCs/>
                <w:kern w:val="0"/>
                <w:sz w:val="24"/>
                <w:szCs w:val="24"/>
              </w:rPr>
              <w:t>”</w:t>
            </w:r>
            <w:r>
              <w:rPr>
                <w:rFonts w:cs="Times New Roman"/>
                <w:bCs/>
                <w:kern w:val="0"/>
                <w:sz w:val="24"/>
                <w:szCs w:val="24"/>
              </w:rPr>
              <w:t>的美誉，设有会议室共</w:t>
            </w:r>
            <w:r>
              <w:rPr>
                <w:rFonts w:cs="Times New Roman"/>
                <w:bCs/>
                <w:kern w:val="0"/>
                <w:sz w:val="24"/>
                <w:szCs w:val="24"/>
              </w:rPr>
              <w:t>20</w:t>
            </w:r>
            <w:r>
              <w:rPr>
                <w:rFonts w:cs="Times New Roman"/>
                <w:bCs/>
                <w:kern w:val="0"/>
                <w:sz w:val="24"/>
                <w:szCs w:val="24"/>
              </w:rPr>
              <w:t>间，可容纳约</w:t>
            </w:r>
            <w:r>
              <w:rPr>
                <w:rFonts w:cs="Times New Roman"/>
                <w:bCs/>
                <w:kern w:val="0"/>
                <w:sz w:val="24"/>
                <w:szCs w:val="24"/>
              </w:rPr>
              <w:t>2300</w:t>
            </w:r>
            <w:r>
              <w:rPr>
                <w:rFonts w:cs="Times New Roman"/>
                <w:bCs/>
                <w:kern w:val="0"/>
                <w:sz w:val="24"/>
                <w:szCs w:val="24"/>
              </w:rPr>
              <w:t>人，拥有客房近</w:t>
            </w:r>
            <w:r>
              <w:rPr>
                <w:rFonts w:cs="Times New Roman"/>
                <w:bCs/>
                <w:kern w:val="0"/>
                <w:sz w:val="24"/>
                <w:szCs w:val="24"/>
              </w:rPr>
              <w:t>800</w:t>
            </w:r>
            <w:r>
              <w:rPr>
                <w:rFonts w:cs="Times New Roman"/>
                <w:bCs/>
                <w:kern w:val="0"/>
                <w:sz w:val="24"/>
                <w:szCs w:val="24"/>
              </w:rPr>
              <w:t>间。健全酒店安全防护体系，提高酒店会议专业服务水平，承接各类行业峰会、政府会议、新闻发布会等。</w:t>
            </w:r>
          </w:p>
          <w:p w14:paraId="00F0C2CA"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世外桃源酒店是中国首家汉唐文化主题酒店，拥有</w:t>
            </w:r>
            <w:r>
              <w:rPr>
                <w:rFonts w:cs="Times New Roman"/>
                <w:bCs/>
                <w:kern w:val="0"/>
                <w:sz w:val="24"/>
                <w:szCs w:val="24"/>
              </w:rPr>
              <w:t>528</w:t>
            </w:r>
            <w:r>
              <w:rPr>
                <w:rFonts w:cs="Times New Roman"/>
                <w:bCs/>
                <w:kern w:val="0"/>
                <w:sz w:val="24"/>
                <w:szCs w:val="24"/>
              </w:rPr>
              <w:t>间豪华客房；配有国际学术交流中心和</w:t>
            </w:r>
            <w:r>
              <w:rPr>
                <w:rFonts w:cs="Times New Roman"/>
                <w:bCs/>
                <w:kern w:val="0"/>
                <w:sz w:val="24"/>
                <w:szCs w:val="24"/>
              </w:rPr>
              <w:t>15</w:t>
            </w:r>
            <w:r>
              <w:rPr>
                <w:rFonts w:cs="Times New Roman" w:hint="eastAsia"/>
                <w:bCs/>
                <w:kern w:val="0"/>
                <w:sz w:val="24"/>
                <w:szCs w:val="24"/>
              </w:rPr>
              <w:t>个大</w:t>
            </w:r>
            <w:r>
              <w:rPr>
                <w:rFonts w:cs="Times New Roman"/>
                <w:bCs/>
                <w:kern w:val="0"/>
                <w:sz w:val="24"/>
                <w:szCs w:val="24"/>
              </w:rPr>
              <w:t>会议室，可同时接待</w:t>
            </w:r>
            <w:r>
              <w:rPr>
                <w:rFonts w:cs="Times New Roman"/>
                <w:bCs/>
                <w:kern w:val="0"/>
                <w:sz w:val="24"/>
                <w:szCs w:val="24"/>
              </w:rPr>
              <w:t>3000</w:t>
            </w:r>
            <w:r>
              <w:rPr>
                <w:rFonts w:cs="Times New Roman"/>
                <w:bCs/>
                <w:kern w:val="0"/>
                <w:sz w:val="24"/>
                <w:szCs w:val="24"/>
              </w:rPr>
              <w:t>人。结合汉唐文化主题，塑造</w:t>
            </w:r>
            <w:r>
              <w:rPr>
                <w:rFonts w:cs="Times New Roman" w:hint="eastAsia"/>
                <w:bCs/>
                <w:kern w:val="0"/>
                <w:sz w:val="24"/>
                <w:szCs w:val="24"/>
              </w:rPr>
              <w:t>主题</w:t>
            </w:r>
            <w:r>
              <w:rPr>
                <w:rFonts w:cs="Times New Roman"/>
                <w:bCs/>
                <w:kern w:val="0"/>
                <w:sz w:val="24"/>
                <w:szCs w:val="24"/>
              </w:rPr>
              <w:t>会议酒店品牌形象，引进</w:t>
            </w:r>
            <w:r>
              <w:rPr>
                <w:rFonts w:cs="Times New Roman"/>
                <w:bCs/>
                <w:kern w:val="0"/>
                <w:sz w:val="24"/>
                <w:szCs w:val="24"/>
              </w:rPr>
              <w:t>VR/AR</w:t>
            </w:r>
            <w:r>
              <w:rPr>
                <w:rFonts w:cs="Times New Roman"/>
                <w:bCs/>
                <w:kern w:val="0"/>
                <w:sz w:val="24"/>
                <w:szCs w:val="24"/>
              </w:rPr>
              <w:t>、全息投影等设施，承接大型学术会议论坛、潮流直播、国风活动、产品发布会等。</w:t>
            </w:r>
          </w:p>
          <w:p w14:paraId="2F6D6825"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成都龙之梦大酒店涵盖了</w:t>
            </w:r>
            <w:proofErr w:type="gramStart"/>
            <w:r>
              <w:rPr>
                <w:rFonts w:cs="Times New Roman"/>
                <w:bCs/>
                <w:kern w:val="0"/>
                <w:sz w:val="24"/>
                <w:szCs w:val="24"/>
              </w:rPr>
              <w:t>从准四星级</w:t>
            </w:r>
            <w:proofErr w:type="gramEnd"/>
            <w:r>
              <w:rPr>
                <w:rFonts w:cs="Times New Roman"/>
                <w:bCs/>
                <w:kern w:val="0"/>
                <w:sz w:val="24"/>
                <w:szCs w:val="24"/>
              </w:rPr>
              <w:t>酒店公寓到豪华五星级四家酒店，会议展览</w:t>
            </w:r>
            <w:r>
              <w:rPr>
                <w:rFonts w:cs="Times New Roman"/>
                <w:bCs/>
                <w:kern w:val="0"/>
                <w:sz w:val="24"/>
                <w:szCs w:val="24"/>
              </w:rPr>
              <w:lastRenderedPageBreak/>
              <w:t>面积</w:t>
            </w:r>
            <w:r>
              <w:rPr>
                <w:rFonts w:cs="Times New Roman"/>
                <w:bCs/>
                <w:kern w:val="0"/>
                <w:sz w:val="24"/>
                <w:szCs w:val="24"/>
              </w:rPr>
              <w:t>3600</w:t>
            </w:r>
            <w:r>
              <w:rPr>
                <w:rFonts w:cs="Times New Roman"/>
                <w:bCs/>
                <w:kern w:val="0"/>
                <w:sz w:val="24"/>
                <w:szCs w:val="24"/>
              </w:rPr>
              <w:t>平方米，拥有</w:t>
            </w:r>
            <w:r>
              <w:rPr>
                <w:rFonts w:cs="Times New Roman"/>
                <w:bCs/>
                <w:kern w:val="0"/>
                <w:sz w:val="24"/>
                <w:szCs w:val="24"/>
              </w:rPr>
              <w:t>3240</w:t>
            </w:r>
            <w:r>
              <w:rPr>
                <w:rFonts w:cs="Times New Roman"/>
                <w:bCs/>
                <w:kern w:val="0"/>
                <w:sz w:val="24"/>
                <w:szCs w:val="24"/>
              </w:rPr>
              <w:t>间客房及套房。发挥酒店区位优势，承接多种专业展和行业峰会、论坛、年会，健全会议专业设施，打造集商务会议、会奖度假、专业展览为一体的会展载体。</w:t>
            </w:r>
          </w:p>
          <w:p w14:paraId="13412617"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成都温江皇冠假日酒店会议展览面积</w:t>
            </w:r>
            <w:r>
              <w:rPr>
                <w:rFonts w:cs="Times New Roman"/>
                <w:bCs/>
                <w:kern w:val="0"/>
                <w:sz w:val="24"/>
                <w:szCs w:val="24"/>
              </w:rPr>
              <w:t>2300</w:t>
            </w:r>
            <w:r>
              <w:rPr>
                <w:rFonts w:cs="Times New Roman"/>
                <w:bCs/>
                <w:kern w:val="0"/>
                <w:sz w:val="24"/>
                <w:szCs w:val="24"/>
              </w:rPr>
              <w:t>平方米，设有</w:t>
            </w:r>
            <w:r>
              <w:rPr>
                <w:rFonts w:cs="Times New Roman"/>
                <w:bCs/>
                <w:kern w:val="0"/>
                <w:sz w:val="24"/>
                <w:szCs w:val="24"/>
              </w:rPr>
              <w:t>1313</w:t>
            </w:r>
            <w:r>
              <w:rPr>
                <w:rFonts w:cs="Times New Roman"/>
                <w:bCs/>
                <w:kern w:val="0"/>
                <w:sz w:val="24"/>
                <w:szCs w:val="24"/>
              </w:rPr>
              <w:t>间会议室和</w:t>
            </w:r>
            <w:r>
              <w:rPr>
                <w:rFonts w:cs="Times New Roman"/>
                <w:bCs/>
                <w:kern w:val="0"/>
                <w:sz w:val="24"/>
                <w:szCs w:val="24"/>
              </w:rPr>
              <w:t>1530</w:t>
            </w:r>
            <w:r>
              <w:rPr>
                <w:rFonts w:cs="Times New Roman"/>
                <w:bCs/>
                <w:kern w:val="0"/>
                <w:sz w:val="24"/>
                <w:szCs w:val="24"/>
              </w:rPr>
              <w:t>平方米无柱式大宴会厅。承接</w:t>
            </w:r>
            <w:r>
              <w:rPr>
                <w:rFonts w:cs="Times New Roman"/>
                <w:bCs/>
                <w:kern w:val="0"/>
                <w:sz w:val="24"/>
                <w:szCs w:val="24"/>
              </w:rPr>
              <w:t>“</w:t>
            </w:r>
            <w:r>
              <w:rPr>
                <w:rFonts w:cs="Times New Roman"/>
                <w:bCs/>
                <w:kern w:val="0"/>
                <w:sz w:val="24"/>
                <w:szCs w:val="24"/>
              </w:rPr>
              <w:t>三医</w:t>
            </w:r>
            <w:r>
              <w:rPr>
                <w:rFonts w:cs="Times New Roman"/>
                <w:bCs/>
                <w:kern w:val="0"/>
                <w:sz w:val="24"/>
                <w:szCs w:val="24"/>
              </w:rPr>
              <w:t>”</w:t>
            </w:r>
            <w:r>
              <w:rPr>
                <w:rFonts w:cs="Times New Roman"/>
                <w:bCs/>
                <w:kern w:val="0"/>
                <w:sz w:val="24"/>
                <w:szCs w:val="24"/>
              </w:rPr>
              <w:t>（医药、医学、医疗）、苗木等产业重要会议、论坛。</w:t>
            </w:r>
          </w:p>
          <w:p w14:paraId="455F0CBF"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bCs/>
                <w:kern w:val="0"/>
                <w:sz w:val="24"/>
                <w:szCs w:val="24"/>
              </w:rPr>
              <w:t>3</w:t>
            </w:r>
            <w:r>
              <w:rPr>
                <w:rFonts w:cs="Times New Roman"/>
                <w:bCs/>
                <w:kern w:val="0"/>
                <w:sz w:val="24"/>
                <w:szCs w:val="24"/>
              </w:rPr>
              <w:t>、</w:t>
            </w:r>
            <w:r>
              <w:rPr>
                <w:rFonts w:cs="Times New Roman" w:hint="eastAsia"/>
                <w:bCs/>
                <w:kern w:val="0"/>
                <w:sz w:val="24"/>
                <w:szCs w:val="24"/>
              </w:rPr>
              <w:t>会展展示新空间</w:t>
            </w:r>
          </w:p>
          <w:p w14:paraId="6A78C90C"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hint="eastAsia"/>
                <w:bCs/>
                <w:kern w:val="0"/>
                <w:sz w:val="24"/>
                <w:szCs w:val="24"/>
              </w:rPr>
              <w:t>东安湖体育公园拥有</w:t>
            </w:r>
            <w:r>
              <w:rPr>
                <w:rFonts w:cs="Times New Roman" w:hint="eastAsia"/>
                <w:bCs/>
                <w:kern w:val="0"/>
                <w:sz w:val="24"/>
                <w:szCs w:val="24"/>
              </w:rPr>
              <w:t>4</w:t>
            </w:r>
            <w:r>
              <w:rPr>
                <w:rFonts w:cs="Times New Roman" w:hint="eastAsia"/>
                <w:bCs/>
                <w:kern w:val="0"/>
                <w:sz w:val="24"/>
                <w:szCs w:val="24"/>
              </w:rPr>
              <w:t>万座甲级体育场、</w:t>
            </w:r>
            <w:r>
              <w:rPr>
                <w:rFonts w:cs="Times New Roman" w:hint="eastAsia"/>
                <w:bCs/>
                <w:kern w:val="0"/>
                <w:sz w:val="24"/>
                <w:szCs w:val="24"/>
              </w:rPr>
              <w:t>1.8</w:t>
            </w:r>
            <w:r>
              <w:rPr>
                <w:rFonts w:cs="Times New Roman" w:hint="eastAsia"/>
                <w:bCs/>
                <w:kern w:val="0"/>
                <w:sz w:val="24"/>
                <w:szCs w:val="24"/>
              </w:rPr>
              <w:t>万座的多功能馆和</w:t>
            </w:r>
            <w:r>
              <w:rPr>
                <w:rFonts w:cs="Times New Roman" w:hint="eastAsia"/>
                <w:bCs/>
                <w:kern w:val="0"/>
                <w:sz w:val="24"/>
                <w:szCs w:val="24"/>
              </w:rPr>
              <w:t>4</w:t>
            </w:r>
            <w:r>
              <w:rPr>
                <w:rFonts w:cs="Times New Roman" w:hint="eastAsia"/>
                <w:bCs/>
                <w:kern w:val="0"/>
                <w:sz w:val="24"/>
                <w:szCs w:val="24"/>
              </w:rPr>
              <w:t>万平方米的小球馆。加强体育场馆的赛后综合利用，重点开发汽车等专业类展会、高新技术创交会、特色产品消费展，加快完善高星级酒店和精品商务酒店等配套设施，打造国际一流体育文化综合体。</w:t>
            </w:r>
          </w:p>
          <w:p w14:paraId="36C5C8CC" w14:textId="77777777" w:rsidR="001F2B4F" w:rsidRDefault="00000000">
            <w:pPr>
              <w:overflowPunct w:val="0"/>
              <w:snapToGrid w:val="0"/>
              <w:spacing w:line="400" w:lineRule="exact"/>
              <w:ind w:firstLineChars="200" w:firstLine="472"/>
              <w:rPr>
                <w:rFonts w:cs="Times New Roman"/>
                <w:bCs/>
                <w:kern w:val="0"/>
                <w:sz w:val="24"/>
                <w:szCs w:val="24"/>
              </w:rPr>
            </w:pPr>
            <w:r>
              <w:rPr>
                <w:rFonts w:cs="Times New Roman" w:hint="eastAsia"/>
                <w:bCs/>
                <w:kern w:val="0"/>
                <w:sz w:val="24"/>
                <w:szCs w:val="24"/>
              </w:rPr>
              <w:t>安仁</w:t>
            </w:r>
            <w:proofErr w:type="gramStart"/>
            <w:r>
              <w:rPr>
                <w:rFonts w:cs="Times New Roman" w:hint="eastAsia"/>
                <w:bCs/>
                <w:kern w:val="0"/>
                <w:sz w:val="24"/>
                <w:szCs w:val="24"/>
              </w:rPr>
              <w:t>博物馆岛拟建设</w:t>
            </w:r>
            <w:proofErr w:type="gramEnd"/>
            <w:r>
              <w:rPr>
                <w:rFonts w:cs="Times New Roman" w:hint="eastAsia"/>
                <w:bCs/>
                <w:kern w:val="0"/>
                <w:sz w:val="24"/>
                <w:szCs w:val="24"/>
              </w:rPr>
              <w:t>2000-5000</w:t>
            </w:r>
            <w:r>
              <w:rPr>
                <w:rFonts w:cs="Times New Roman" w:hint="eastAsia"/>
                <w:bCs/>
                <w:kern w:val="0"/>
                <w:sz w:val="24"/>
                <w:szCs w:val="24"/>
              </w:rPr>
              <w:t>平方米的国际文化交流中心，</w:t>
            </w:r>
            <w:proofErr w:type="gramStart"/>
            <w:r>
              <w:rPr>
                <w:rFonts w:cs="Times New Roman" w:hint="eastAsia"/>
                <w:bCs/>
                <w:kern w:val="0"/>
                <w:sz w:val="24"/>
                <w:szCs w:val="24"/>
              </w:rPr>
              <w:t>配套会议</w:t>
            </w:r>
            <w:proofErr w:type="gramEnd"/>
            <w:r>
              <w:rPr>
                <w:rFonts w:cs="Times New Roman" w:hint="eastAsia"/>
                <w:bCs/>
                <w:kern w:val="0"/>
                <w:sz w:val="24"/>
                <w:szCs w:val="24"/>
              </w:rPr>
              <w:t>会展场馆、精品酒店、商业街区、景观绿道及水系，加强与周边旅游景点联动发展，打造高端会奖度假、文博文创、农业博览等业态。</w:t>
            </w:r>
          </w:p>
        </w:tc>
      </w:tr>
    </w:tbl>
    <w:p w14:paraId="271F01BB" w14:textId="77777777" w:rsidR="001F2B4F" w:rsidRDefault="00000000">
      <w:pPr>
        <w:overflowPunct w:val="0"/>
        <w:spacing w:line="579" w:lineRule="exact"/>
        <w:ind w:firstLineChars="200" w:firstLine="632"/>
        <w:rPr>
          <w:rFonts w:cs="Times New Roman"/>
          <w:bCs/>
          <w:szCs w:val="32"/>
        </w:rPr>
      </w:pPr>
      <w:r>
        <w:rPr>
          <w:rFonts w:eastAsia="方正楷体_GBK" w:cs="方正楷体_GBK"/>
          <w:szCs w:val="32"/>
          <w:lang w:val="zh-TW"/>
        </w:rPr>
        <w:lastRenderedPageBreak/>
        <w:t>实施</w:t>
      </w:r>
      <w:r>
        <w:rPr>
          <w:rFonts w:eastAsia="方正楷体_GBK" w:cs="方正楷体_GBK" w:hint="eastAsia"/>
          <w:szCs w:val="32"/>
          <w:lang w:val="zh-TW"/>
        </w:rPr>
        <w:t>名企壮大行动。</w:t>
      </w:r>
      <w:r>
        <w:rPr>
          <w:rFonts w:cs="楷体_GB2312" w:hint="eastAsia"/>
          <w:szCs w:val="32"/>
        </w:rPr>
        <w:t>招引一批国际名企</w:t>
      </w:r>
      <w:r>
        <w:rPr>
          <w:rFonts w:cs="楷体_GB2312" w:hint="eastAsia"/>
          <w:bCs/>
          <w:szCs w:val="32"/>
        </w:rPr>
        <w:t>，建立重点引进会展企业名录，精准招引国内外牵引性、带动性强</w:t>
      </w:r>
      <w:proofErr w:type="gramStart"/>
      <w:r>
        <w:rPr>
          <w:rFonts w:cs="楷体_GB2312" w:hint="eastAsia"/>
          <w:bCs/>
          <w:szCs w:val="32"/>
        </w:rPr>
        <w:t>的链主企业</w:t>
      </w:r>
      <w:proofErr w:type="gramEnd"/>
      <w:r>
        <w:rPr>
          <w:rFonts w:cs="楷体_GB2312" w:hint="eastAsia"/>
          <w:bCs/>
          <w:szCs w:val="32"/>
        </w:rPr>
        <w:t>在成都设立区域性总部和具有总部</w:t>
      </w:r>
      <w:proofErr w:type="gramStart"/>
      <w:r>
        <w:rPr>
          <w:rFonts w:cs="楷体_GB2312" w:hint="eastAsia"/>
          <w:bCs/>
          <w:szCs w:val="32"/>
        </w:rPr>
        <w:t>级职能</w:t>
      </w:r>
      <w:proofErr w:type="gramEnd"/>
      <w:r>
        <w:rPr>
          <w:rFonts w:cs="楷体_GB2312" w:hint="eastAsia"/>
          <w:bCs/>
          <w:szCs w:val="32"/>
        </w:rPr>
        <w:t>的独立法人机构，</w:t>
      </w:r>
      <w:proofErr w:type="gramStart"/>
      <w:r>
        <w:rPr>
          <w:rFonts w:cs="楷体_GB2312" w:hint="eastAsia"/>
          <w:bCs/>
          <w:szCs w:val="32"/>
        </w:rPr>
        <w:t>通过链主企业</w:t>
      </w:r>
      <w:proofErr w:type="gramEnd"/>
      <w:r>
        <w:rPr>
          <w:rFonts w:cs="楷体_GB2312" w:hint="eastAsia"/>
          <w:bCs/>
          <w:szCs w:val="32"/>
        </w:rPr>
        <w:t>吸引</w:t>
      </w:r>
      <w:proofErr w:type="gramStart"/>
      <w:r>
        <w:rPr>
          <w:rFonts w:cs="楷体_GB2312" w:hint="eastAsia"/>
          <w:bCs/>
          <w:szCs w:val="32"/>
        </w:rPr>
        <w:t>会展全</w:t>
      </w:r>
      <w:proofErr w:type="gramEnd"/>
      <w:r>
        <w:rPr>
          <w:rFonts w:cs="楷体_GB2312" w:hint="eastAsia"/>
          <w:bCs/>
          <w:szCs w:val="32"/>
        </w:rPr>
        <w:t>产业链条的上下游、左右</w:t>
      </w:r>
      <w:proofErr w:type="gramStart"/>
      <w:r>
        <w:rPr>
          <w:rFonts w:cs="楷体_GB2312" w:hint="eastAsia"/>
          <w:bCs/>
          <w:szCs w:val="32"/>
        </w:rPr>
        <w:t>岸企业</w:t>
      </w:r>
      <w:proofErr w:type="gramEnd"/>
      <w:r>
        <w:rPr>
          <w:rFonts w:cs="楷体_GB2312" w:hint="eastAsia"/>
          <w:bCs/>
          <w:szCs w:val="32"/>
        </w:rPr>
        <w:t>集聚，提升产业链主导能力；推动企业融通发展，支持头部企业向产业</w:t>
      </w:r>
      <w:proofErr w:type="gramStart"/>
      <w:r>
        <w:rPr>
          <w:rFonts w:cs="楷体_GB2312" w:hint="eastAsia"/>
          <w:bCs/>
          <w:szCs w:val="32"/>
        </w:rPr>
        <w:t>链供应</w:t>
      </w:r>
      <w:proofErr w:type="gramEnd"/>
      <w:r>
        <w:rPr>
          <w:rFonts w:cs="楷体_GB2312" w:hint="eastAsia"/>
          <w:bCs/>
          <w:szCs w:val="32"/>
        </w:rPr>
        <w:t>链垂直整合、横向贯通，为上下游关联配套企业提供技术及人才支持、共享生产服务等，带动关联企业共同发展。</w:t>
      </w:r>
      <w:r>
        <w:rPr>
          <w:rFonts w:cs="楷体_GB2312" w:hint="eastAsia"/>
          <w:szCs w:val="32"/>
        </w:rPr>
        <w:t>壮大一批本土名企</w:t>
      </w:r>
      <w:r>
        <w:rPr>
          <w:rFonts w:cs="楷体_GB2312" w:hint="eastAsia"/>
          <w:bCs/>
          <w:szCs w:val="32"/>
        </w:rPr>
        <w:t>，</w:t>
      </w:r>
      <w:r>
        <w:rPr>
          <w:rFonts w:cs="Times New Roman" w:hint="eastAsia"/>
          <w:bCs/>
          <w:szCs w:val="32"/>
        </w:rPr>
        <w:t>支持本土会展龙头企业</w:t>
      </w:r>
      <w:r>
        <w:rPr>
          <w:rFonts w:cs="楷体_GB2312" w:hint="eastAsia"/>
          <w:bCs/>
          <w:szCs w:val="32"/>
        </w:rPr>
        <w:t>通过收购、兼并、参股等形式组建大型国际会展集团，</w:t>
      </w:r>
      <w:proofErr w:type="gramStart"/>
      <w:r>
        <w:rPr>
          <w:rFonts w:cs="楷体_GB2312" w:hint="eastAsia"/>
          <w:bCs/>
          <w:szCs w:val="32"/>
        </w:rPr>
        <w:t>鼓励</w:t>
      </w:r>
      <w:r>
        <w:rPr>
          <w:rFonts w:cs="Times New Roman" w:hint="eastAsia"/>
          <w:bCs/>
          <w:szCs w:val="32"/>
        </w:rPr>
        <w:t>策办申办</w:t>
      </w:r>
      <w:proofErr w:type="gramEnd"/>
      <w:r>
        <w:rPr>
          <w:rFonts w:cs="Times New Roman" w:hint="eastAsia"/>
          <w:bCs/>
          <w:szCs w:val="32"/>
        </w:rPr>
        <w:t>重大项目、开展国际合作、争取上市以及冲刺全球会展</w:t>
      </w:r>
      <w:r>
        <w:rPr>
          <w:rFonts w:cs="Times New Roman" w:hint="eastAsia"/>
          <w:bCs/>
          <w:szCs w:val="32"/>
        </w:rPr>
        <w:t>50</w:t>
      </w:r>
      <w:r>
        <w:rPr>
          <w:rFonts w:cs="Times New Roman" w:hint="eastAsia"/>
          <w:bCs/>
          <w:szCs w:val="32"/>
        </w:rPr>
        <w:t>强和国内会展</w:t>
      </w:r>
      <w:r>
        <w:rPr>
          <w:rFonts w:cs="Times New Roman" w:hint="eastAsia"/>
          <w:bCs/>
          <w:szCs w:val="32"/>
        </w:rPr>
        <w:t>30</w:t>
      </w:r>
      <w:r>
        <w:rPr>
          <w:rFonts w:cs="Times New Roman" w:hint="eastAsia"/>
          <w:bCs/>
          <w:szCs w:val="32"/>
        </w:rPr>
        <w:t>强；鼓励本地会展企业通过资源整合、信息共享和有序竞争等方式与国际会展集团进行合</w:t>
      </w:r>
      <w:r>
        <w:rPr>
          <w:rFonts w:cs="Times New Roman" w:hint="eastAsia"/>
          <w:bCs/>
          <w:szCs w:val="32"/>
        </w:rPr>
        <w:lastRenderedPageBreak/>
        <w:t>作，激发本土会展企业原创力和办展策展能力，</w:t>
      </w:r>
      <w:r>
        <w:rPr>
          <w:rFonts w:cs="楷体_GB2312" w:hint="eastAsia"/>
          <w:bCs/>
          <w:szCs w:val="32"/>
        </w:rPr>
        <w:t>促进本地会展企业做强主业、提质增效。</w:t>
      </w:r>
      <w:r>
        <w:rPr>
          <w:rFonts w:cs="Times New Roman" w:hint="eastAsia"/>
          <w:szCs w:val="32"/>
        </w:rPr>
        <w:t>培育一批专精特新企业</w:t>
      </w:r>
      <w:r>
        <w:rPr>
          <w:rFonts w:cs="Times New Roman" w:hint="eastAsia"/>
          <w:bCs/>
          <w:szCs w:val="32"/>
        </w:rPr>
        <w:t>，针对性帮助专精特新企业</w:t>
      </w:r>
      <w:proofErr w:type="gramStart"/>
      <w:r>
        <w:rPr>
          <w:rFonts w:cs="Times New Roman" w:hint="eastAsia"/>
          <w:bCs/>
          <w:szCs w:val="32"/>
        </w:rPr>
        <w:t>创新提能发展</w:t>
      </w:r>
      <w:proofErr w:type="gramEnd"/>
      <w:r>
        <w:rPr>
          <w:rFonts w:cs="Times New Roman" w:hint="eastAsia"/>
          <w:bCs/>
          <w:szCs w:val="32"/>
        </w:rPr>
        <w:t>，瞄准会展策展、组展等关键领域“补短板”，会展绿色化、数字化等关键核心技术强攻关，全面提升成都会展创新支撑力和引领力。</w:t>
      </w:r>
      <w:r>
        <w:rPr>
          <w:rFonts w:cs="楷体_GB2312" w:hint="eastAsia"/>
          <w:szCs w:val="32"/>
        </w:rPr>
        <w:t>扶持中小微企业</w:t>
      </w:r>
      <w:r>
        <w:rPr>
          <w:rFonts w:cs="楷体_GB2312" w:hint="eastAsia"/>
          <w:bCs/>
          <w:szCs w:val="32"/>
        </w:rPr>
        <w:t>，</w:t>
      </w:r>
      <w:r>
        <w:rPr>
          <w:rFonts w:cs="Times New Roman" w:hint="eastAsia"/>
          <w:bCs/>
          <w:szCs w:val="32"/>
        </w:rPr>
        <w:t>鼓励和支持中小微会展企业与展馆运营企业、制造业企业、商协会等广泛开展合作，联合办展、办会，抱团发展，壮大自身实力。</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1F2B4F" w14:paraId="61A2E716" w14:textId="77777777">
        <w:trPr>
          <w:trHeight w:val="609"/>
          <w:tblHeader/>
          <w:jc w:val="center"/>
        </w:trPr>
        <w:tc>
          <w:tcPr>
            <w:tcW w:w="8834" w:type="dxa"/>
            <w:tcBorders>
              <w:top w:val="single" w:sz="4" w:space="0" w:color="auto"/>
              <w:left w:val="single" w:sz="4" w:space="0" w:color="auto"/>
              <w:bottom w:val="single" w:sz="4" w:space="0" w:color="auto"/>
              <w:right w:val="single" w:sz="4" w:space="0" w:color="auto"/>
            </w:tcBorders>
            <w:vAlign w:val="center"/>
          </w:tcPr>
          <w:p w14:paraId="6B922BB0" w14:textId="77777777" w:rsidR="001F2B4F" w:rsidRDefault="00000000">
            <w:pPr>
              <w:overflowPunct w:val="0"/>
              <w:rPr>
                <w:rFonts w:cs="Times New Roman"/>
                <w:sz w:val="28"/>
                <w:szCs w:val="30"/>
              </w:rPr>
            </w:pPr>
            <w:r>
              <w:rPr>
                <w:rFonts w:eastAsia="方正黑体_GBK" w:cs="Times New Roman"/>
                <w:sz w:val="28"/>
                <w:szCs w:val="30"/>
              </w:rPr>
              <w:t>专栏</w:t>
            </w:r>
            <w:r>
              <w:rPr>
                <w:rFonts w:eastAsia="方正黑体_GBK" w:cs="Times New Roman"/>
                <w:sz w:val="28"/>
                <w:szCs w:val="30"/>
              </w:rPr>
              <w:t xml:space="preserve">8  </w:t>
            </w:r>
            <w:r>
              <w:rPr>
                <w:rFonts w:eastAsia="方正黑体_GBK" w:cs="Times New Roman" w:hint="eastAsia"/>
                <w:sz w:val="28"/>
                <w:szCs w:val="30"/>
              </w:rPr>
              <w:t>名企壮大</w:t>
            </w:r>
          </w:p>
        </w:tc>
      </w:tr>
      <w:tr w:rsidR="001F2B4F" w14:paraId="4A3899FF" w14:textId="77777777">
        <w:trPr>
          <w:trHeight w:val="20"/>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14:paraId="4188236A" w14:textId="77777777" w:rsidR="001F2B4F" w:rsidRDefault="00000000">
            <w:pPr>
              <w:overflowPunct w:val="0"/>
              <w:spacing w:line="400" w:lineRule="exact"/>
              <w:ind w:firstLineChars="200" w:firstLine="472"/>
              <w:rPr>
                <w:rFonts w:cs="Times New Roman"/>
                <w:bCs/>
                <w:sz w:val="24"/>
                <w:szCs w:val="32"/>
              </w:rPr>
            </w:pPr>
            <w:r>
              <w:rPr>
                <w:rFonts w:cs="Times New Roman" w:hint="eastAsia"/>
                <w:bCs/>
                <w:sz w:val="24"/>
                <w:szCs w:val="32"/>
              </w:rPr>
              <w:t>招引</w:t>
            </w:r>
            <w:proofErr w:type="gramStart"/>
            <w:r>
              <w:rPr>
                <w:rFonts w:cs="Times New Roman" w:hint="eastAsia"/>
                <w:bCs/>
                <w:sz w:val="24"/>
                <w:szCs w:val="32"/>
              </w:rPr>
              <w:t>会展名</w:t>
            </w:r>
            <w:proofErr w:type="gramEnd"/>
            <w:r>
              <w:rPr>
                <w:rFonts w:cs="Times New Roman" w:hint="eastAsia"/>
                <w:bCs/>
                <w:sz w:val="24"/>
                <w:szCs w:val="32"/>
              </w:rPr>
              <w:t>企：德国汉诺威展览公司、德国杜塞尔多夫展览有限公司、德国慕尼黑博览集团、英国塔苏斯集团、意大利米兰展览公司、意大利博洛尼亚展览集团、德国法兰克福展览公司、德国纽伦堡展览公司、德国柏林展览公司、德国科隆展览公司、德国斯图加特展览公司、英国伯明翰国际会展中心集团、中国对外贸易中心（集团）、中展励德国际展览（北京）有限公司、中粮会展（北京）有限公司、驰旸文化（深圳）有限公司、北京博万国际会展有限责任公司、上海博华国际展览有限公司、上海东</w:t>
            </w:r>
            <w:proofErr w:type="gramStart"/>
            <w:r>
              <w:rPr>
                <w:rFonts w:cs="Times New Roman" w:hint="eastAsia"/>
                <w:bCs/>
                <w:sz w:val="24"/>
                <w:szCs w:val="32"/>
              </w:rPr>
              <w:t>浩</w:t>
            </w:r>
            <w:proofErr w:type="gramEnd"/>
            <w:r>
              <w:rPr>
                <w:rFonts w:cs="Times New Roman" w:hint="eastAsia"/>
                <w:bCs/>
                <w:sz w:val="24"/>
                <w:szCs w:val="32"/>
              </w:rPr>
              <w:t>兰生会展有限公司等。</w:t>
            </w:r>
          </w:p>
          <w:p w14:paraId="1EC36CFB" w14:textId="77777777" w:rsidR="001F2B4F" w:rsidRDefault="00000000">
            <w:pPr>
              <w:overflowPunct w:val="0"/>
              <w:spacing w:line="400" w:lineRule="exact"/>
              <w:ind w:firstLineChars="200" w:firstLine="472"/>
              <w:rPr>
                <w:rFonts w:cs="Times New Roman"/>
                <w:bCs/>
                <w:sz w:val="24"/>
                <w:szCs w:val="32"/>
              </w:rPr>
            </w:pPr>
            <w:r>
              <w:rPr>
                <w:rFonts w:cs="Times New Roman" w:hint="eastAsia"/>
                <w:bCs/>
                <w:sz w:val="24"/>
                <w:szCs w:val="32"/>
              </w:rPr>
              <w:t>培育</w:t>
            </w:r>
            <w:proofErr w:type="gramStart"/>
            <w:r>
              <w:rPr>
                <w:rFonts w:cs="Times New Roman" w:hint="eastAsia"/>
                <w:bCs/>
                <w:sz w:val="24"/>
                <w:szCs w:val="32"/>
              </w:rPr>
              <w:t>会展名</w:t>
            </w:r>
            <w:proofErr w:type="gramEnd"/>
            <w:r>
              <w:rPr>
                <w:rFonts w:cs="Times New Roman" w:hint="eastAsia"/>
                <w:bCs/>
                <w:sz w:val="24"/>
                <w:szCs w:val="32"/>
              </w:rPr>
              <w:t>企：四川天府国际会展有限公司、四川国际博览集团、四川国际会展有限公司、成都</w:t>
            </w:r>
            <w:r>
              <w:rPr>
                <w:rFonts w:cs="Times New Roman"/>
                <w:bCs/>
                <w:sz w:val="24"/>
                <w:szCs w:val="32"/>
              </w:rPr>
              <w:t>世纪城</w:t>
            </w:r>
            <w:r>
              <w:rPr>
                <w:rFonts w:cs="Times New Roman" w:hint="eastAsia"/>
                <w:bCs/>
                <w:sz w:val="24"/>
                <w:szCs w:val="32"/>
              </w:rPr>
              <w:t>会展集团有限公司、英富曼天</w:t>
            </w:r>
            <w:proofErr w:type="gramStart"/>
            <w:r>
              <w:rPr>
                <w:rFonts w:cs="Times New Roman" w:hint="eastAsia"/>
                <w:bCs/>
                <w:sz w:val="24"/>
                <w:szCs w:val="32"/>
              </w:rPr>
              <w:t>一</w:t>
            </w:r>
            <w:proofErr w:type="gramEnd"/>
            <w:r>
              <w:rPr>
                <w:rFonts w:cs="Times New Roman" w:hint="eastAsia"/>
                <w:bCs/>
                <w:sz w:val="24"/>
                <w:szCs w:val="32"/>
              </w:rPr>
              <w:t>展览（成都）有限公司、英富曼维纳展览（成都）有限公司、成都市天</w:t>
            </w:r>
            <w:proofErr w:type="gramStart"/>
            <w:r>
              <w:rPr>
                <w:rFonts w:cs="Times New Roman" w:hint="eastAsia"/>
                <w:bCs/>
                <w:sz w:val="24"/>
                <w:szCs w:val="32"/>
              </w:rPr>
              <w:t>一</w:t>
            </w:r>
            <w:proofErr w:type="gramEnd"/>
            <w:r>
              <w:rPr>
                <w:rFonts w:cs="Times New Roman" w:hint="eastAsia"/>
                <w:bCs/>
                <w:sz w:val="24"/>
                <w:szCs w:val="32"/>
              </w:rPr>
              <w:t>展览服务有限公司、成都新东方展览有限公司等。</w:t>
            </w:r>
          </w:p>
        </w:tc>
      </w:tr>
    </w:tbl>
    <w:p w14:paraId="7878AA0B" w14:textId="77777777" w:rsidR="001F2B4F" w:rsidRDefault="00000000">
      <w:pPr>
        <w:overflowPunct w:val="0"/>
        <w:adjustRightInd w:val="0"/>
        <w:snapToGrid w:val="0"/>
        <w:spacing w:line="579" w:lineRule="exact"/>
        <w:ind w:firstLineChars="200" w:firstLine="632"/>
        <w:rPr>
          <w:rFonts w:cs="Times New Roman"/>
          <w:bCs/>
          <w:szCs w:val="32"/>
        </w:rPr>
      </w:pPr>
      <w:bookmarkStart w:id="94" w:name="_Hlk96357685"/>
      <w:r>
        <w:rPr>
          <w:rFonts w:eastAsia="方正楷体_GBK" w:cs="方正楷体_GBK" w:hint="eastAsia"/>
          <w:szCs w:val="32"/>
          <w:lang w:val="zh-TW"/>
        </w:rPr>
        <w:t>实施人才招培行动。</w:t>
      </w:r>
      <w:r>
        <w:rPr>
          <w:rFonts w:cs="Times New Roman" w:hint="eastAsia"/>
          <w:szCs w:val="32"/>
        </w:rPr>
        <w:t>引进会展领军人才</w:t>
      </w:r>
      <w:r>
        <w:rPr>
          <w:rFonts w:cs="Times New Roman" w:hint="eastAsia"/>
          <w:bCs/>
          <w:szCs w:val="32"/>
        </w:rPr>
        <w:t>，整合市场需求和市场资源，建立高层次会展人才信息库，针对性招引国际一流的会展领军人才和高水平会展团队，打造全球高端会展人才“蓄水池”；推荐会展领军人才入选市级重大人才计划，增强领军人才城市粘性，激发领军人才引领作用。</w:t>
      </w:r>
      <w:r>
        <w:rPr>
          <w:rFonts w:cs="Times New Roman" w:hint="eastAsia"/>
          <w:szCs w:val="32"/>
        </w:rPr>
        <w:t>联合培育会展应用人才</w:t>
      </w:r>
      <w:r>
        <w:rPr>
          <w:rFonts w:cs="Times New Roman" w:hint="eastAsia"/>
          <w:bCs/>
          <w:szCs w:val="32"/>
        </w:rPr>
        <w:t>，支持职业院校加强人才的联合培养，提升人才的专业能力，培养应用型、</w:t>
      </w:r>
      <w:r>
        <w:rPr>
          <w:rFonts w:cs="Times New Roman" w:hint="eastAsia"/>
          <w:bCs/>
          <w:szCs w:val="32"/>
        </w:rPr>
        <w:lastRenderedPageBreak/>
        <w:t>技能型、服务型等会展基础人才；发挥中国贸促会成都培训基地价值，引入国际化、国家级权威培训资源，培养一批具有高级资质认证的会展管理人才队伍。</w:t>
      </w:r>
    </w:p>
    <w:p w14:paraId="4820631A" w14:textId="77777777" w:rsidR="001F2B4F" w:rsidRDefault="00000000">
      <w:pPr>
        <w:overflowPunct w:val="0"/>
        <w:adjustRightInd w:val="0"/>
        <w:snapToGrid w:val="0"/>
        <w:spacing w:line="579" w:lineRule="exact"/>
        <w:ind w:firstLineChars="200" w:firstLine="632"/>
        <w:rPr>
          <w:rFonts w:cs="Times New Roman"/>
          <w:bCs/>
          <w:szCs w:val="32"/>
        </w:rPr>
      </w:pPr>
      <w:r>
        <w:rPr>
          <w:rFonts w:eastAsia="方正楷体_GBK" w:cs="方正楷体_GBK" w:hint="eastAsia"/>
          <w:szCs w:val="32"/>
          <w:lang w:val="zh-TW"/>
        </w:rPr>
        <w:t>实施数字赋能行动</w:t>
      </w:r>
      <w:bookmarkEnd w:id="94"/>
      <w:r>
        <w:rPr>
          <w:rFonts w:eastAsia="方正楷体_GBK" w:cs="方正楷体_GBK" w:hint="eastAsia"/>
          <w:szCs w:val="32"/>
          <w:lang w:val="zh-TW"/>
        </w:rPr>
        <w:t>。</w:t>
      </w:r>
      <w:r>
        <w:rPr>
          <w:rFonts w:cs="楷体_GB2312" w:hint="eastAsia"/>
          <w:bCs/>
          <w:szCs w:val="32"/>
        </w:rPr>
        <w:t>搭建</w:t>
      </w:r>
      <w:proofErr w:type="gramStart"/>
      <w:r>
        <w:rPr>
          <w:rFonts w:cs="楷体_GB2312" w:hint="eastAsia"/>
          <w:bCs/>
          <w:szCs w:val="32"/>
        </w:rPr>
        <w:t>数字云展中心</w:t>
      </w:r>
      <w:proofErr w:type="gramEnd"/>
      <w:r>
        <w:rPr>
          <w:rFonts w:cs="楷体_GB2312" w:hint="eastAsia"/>
          <w:szCs w:val="32"/>
        </w:rPr>
        <w:t>，</w:t>
      </w:r>
      <w:r>
        <w:rPr>
          <w:rFonts w:cs="楷体_GB2312" w:hint="eastAsia"/>
          <w:bCs/>
          <w:szCs w:val="32"/>
        </w:rPr>
        <w:t>围绕“双线”会展模式，推进“线上</w:t>
      </w:r>
      <w:r>
        <w:rPr>
          <w:rFonts w:cs="楷体_GB2312"/>
          <w:bCs/>
          <w:szCs w:val="32"/>
        </w:rPr>
        <w:t>+</w:t>
      </w:r>
      <w:r>
        <w:rPr>
          <w:rFonts w:cs="楷体_GB2312"/>
          <w:bCs/>
          <w:szCs w:val="32"/>
        </w:rPr>
        <w:t>线下</w:t>
      </w:r>
      <w:r>
        <w:rPr>
          <w:rFonts w:cs="楷体_GB2312"/>
          <w:bCs/>
          <w:szCs w:val="32"/>
        </w:rPr>
        <w:t>”</w:t>
      </w:r>
      <w:r>
        <w:rPr>
          <w:rFonts w:cs="楷体_GB2312"/>
          <w:bCs/>
          <w:szCs w:val="32"/>
        </w:rPr>
        <w:t>发展，</w:t>
      </w:r>
      <w:r>
        <w:rPr>
          <w:rFonts w:cs="楷体_GB2312" w:hint="eastAsia"/>
          <w:bCs/>
          <w:szCs w:val="32"/>
        </w:rPr>
        <w:t>加强与龙头科技公司、网络营销平台合作，利用</w:t>
      </w:r>
      <w:r>
        <w:rPr>
          <w:rFonts w:cs="楷体_GB2312" w:hint="eastAsia"/>
          <w:bCs/>
          <w:szCs w:val="32"/>
        </w:rPr>
        <w:t>5G</w:t>
      </w:r>
      <w:r>
        <w:rPr>
          <w:rFonts w:cs="楷体_GB2312" w:hint="eastAsia"/>
          <w:bCs/>
          <w:szCs w:val="32"/>
        </w:rPr>
        <w:t>、虚拟现实技术（</w:t>
      </w:r>
      <w:r>
        <w:rPr>
          <w:rFonts w:cs="楷体_GB2312" w:hint="eastAsia"/>
          <w:bCs/>
          <w:szCs w:val="32"/>
        </w:rPr>
        <w:t>VR</w:t>
      </w:r>
      <w:r>
        <w:rPr>
          <w:rFonts w:cs="楷体_GB2312" w:hint="eastAsia"/>
          <w:bCs/>
          <w:szCs w:val="32"/>
        </w:rPr>
        <w:t>）、云技术、互动直播等前沿技术，实现传统线下展会核心功能的数字化、在线化。</w:t>
      </w:r>
      <w:r>
        <w:rPr>
          <w:rFonts w:cs="楷体_GB2312" w:hint="eastAsia"/>
          <w:szCs w:val="32"/>
        </w:rPr>
        <w:t>加强数字化运营管理</w:t>
      </w:r>
      <w:r>
        <w:rPr>
          <w:rFonts w:cs="楷体_GB2312" w:hint="eastAsia"/>
          <w:bCs/>
          <w:szCs w:val="32"/>
        </w:rPr>
        <w:t>，提供在线交流洽谈、供需精准配对、营销宣传等服务，实现“云展览”“云对接”“云洽谈”“云签约”，进一步拓展展会功能、夯实展会成效。</w:t>
      </w:r>
      <w:r>
        <w:rPr>
          <w:rFonts w:cs="楷体_GB2312" w:hint="eastAsia"/>
          <w:szCs w:val="32"/>
        </w:rPr>
        <w:t>推动会展服务智慧升级</w:t>
      </w:r>
      <w:r>
        <w:rPr>
          <w:rFonts w:cs="楷体_GB2312" w:hint="eastAsia"/>
          <w:bCs/>
          <w:szCs w:val="32"/>
        </w:rPr>
        <w:t>，</w:t>
      </w:r>
      <w:r>
        <w:rPr>
          <w:rFonts w:cs="楷体_GB2312" w:hint="eastAsia"/>
          <w:bCs/>
          <w:kern w:val="0"/>
          <w:szCs w:val="32"/>
        </w:rPr>
        <w:t>鼓励应用云计算、大数据、物联网等先进技术，促进会展场馆信息资源库、设施管理系统、展期安排系统、展销系统等智能化、信息化改造，</w:t>
      </w:r>
      <w:r>
        <w:rPr>
          <w:rFonts w:cs="楷体_GB2312" w:hint="eastAsia"/>
          <w:bCs/>
          <w:szCs w:val="32"/>
        </w:rPr>
        <w:t>为客商提供线上注册、展会预约、电子签到、社交分享、馆内导航等一站式服务</w:t>
      </w:r>
      <w:r>
        <w:rPr>
          <w:rFonts w:cs="楷体_GB2312"/>
          <w:bCs/>
          <w:szCs w:val="32"/>
        </w:rPr>
        <w:t>。</w:t>
      </w:r>
    </w:p>
    <w:p w14:paraId="1D86C712" w14:textId="77777777" w:rsidR="001F2B4F" w:rsidRDefault="00000000">
      <w:pPr>
        <w:overflowPunct w:val="0"/>
        <w:adjustRightInd w:val="0"/>
        <w:snapToGrid w:val="0"/>
        <w:spacing w:line="579" w:lineRule="exact"/>
        <w:ind w:firstLineChars="200" w:firstLine="632"/>
        <w:rPr>
          <w:rFonts w:cs="Times New Roman"/>
          <w:bCs/>
          <w:szCs w:val="32"/>
        </w:rPr>
      </w:pPr>
      <w:bookmarkStart w:id="95" w:name="_Hlk96356115"/>
      <w:r>
        <w:rPr>
          <w:rFonts w:eastAsia="方正楷体_GBK" w:cs="方正楷体_GBK" w:hint="eastAsia"/>
          <w:szCs w:val="32"/>
          <w:lang w:val="zh-TW"/>
        </w:rPr>
        <w:t>实施绿色会展行动</w:t>
      </w:r>
      <w:bookmarkEnd w:id="95"/>
      <w:r>
        <w:rPr>
          <w:rFonts w:eastAsia="方正楷体_GBK" w:cs="方正楷体_GBK" w:hint="eastAsia"/>
          <w:szCs w:val="32"/>
          <w:lang w:val="zh-TW"/>
        </w:rPr>
        <w:t>。</w:t>
      </w:r>
      <w:r>
        <w:rPr>
          <w:rFonts w:cs="Times New Roman" w:hint="eastAsia"/>
          <w:bCs/>
          <w:szCs w:val="32"/>
        </w:rPr>
        <w:t>倡导绿色会展理念，以实现“双碳”目标为引领，积极培育低碳会展企业，鼓励建设低碳会展园区，推动节能、环保、绿色低碳办展办会，支持使用可循环利用的绿色材料产品，鼓励在场馆设施、项目运营、展示设计、展台搭建、垃圾处理等环节应用节能环保技术。引导、推动各参展企业和搭建商采用可回收材料替代传统展材，循环使用环保展具。构建绿色会展体系，鼓励会展业与环保产业的交流、合作以及融合发展，加快推进绿色会展技术与创新体系的建立。鼓励和支持重点展馆、</w:t>
      </w:r>
      <w:r>
        <w:rPr>
          <w:rFonts w:cs="Times New Roman" w:hint="eastAsia"/>
          <w:bCs/>
          <w:szCs w:val="32"/>
        </w:rPr>
        <w:lastRenderedPageBreak/>
        <w:t>重点展会开展试点，推动绿色展馆、绿色展会认证。</w:t>
      </w:r>
    </w:p>
    <w:p w14:paraId="568FC339"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96" w:name="_Toc93092577"/>
      <w:bookmarkStart w:id="97" w:name="_Toc96622381"/>
      <w:bookmarkStart w:id="98" w:name="_Toc78795974"/>
      <w:bookmarkStart w:id="99" w:name="_Toc78796002"/>
      <w:bookmarkStart w:id="100" w:name="_Toc65700545"/>
      <w:bookmarkStart w:id="101" w:name="_Toc78795975"/>
      <w:bookmarkStart w:id="102" w:name="_Toc78796003"/>
      <w:bookmarkStart w:id="103" w:name="_Toc65700549"/>
      <w:bookmarkEnd w:id="70"/>
      <w:bookmarkEnd w:id="71"/>
      <w:bookmarkEnd w:id="72"/>
      <w:bookmarkEnd w:id="87"/>
      <w:bookmarkEnd w:id="88"/>
      <w:bookmarkEnd w:id="89"/>
      <w:r>
        <w:rPr>
          <w:rFonts w:ascii="方正黑体_GBK" w:eastAsia="方正黑体_GBK" w:cs="宋体" w:hint="eastAsia"/>
          <w:bCs/>
          <w:kern w:val="0"/>
          <w:szCs w:val="32"/>
          <w:lang w:val="zh-CN" w:bidi="zh-CN"/>
        </w:rPr>
        <w:t xml:space="preserve">第四节 </w:t>
      </w:r>
      <w:bookmarkStart w:id="104" w:name="_Toc65700536"/>
      <w:r>
        <w:rPr>
          <w:rFonts w:ascii="方正黑体_GBK" w:eastAsia="方正黑体_GBK" w:cs="宋体"/>
          <w:bCs/>
          <w:kern w:val="0"/>
          <w:szCs w:val="32"/>
          <w:lang w:val="zh-CN" w:bidi="zh-CN"/>
        </w:rPr>
        <w:t xml:space="preserve"> </w:t>
      </w:r>
      <w:proofErr w:type="gramStart"/>
      <w:r>
        <w:rPr>
          <w:rFonts w:ascii="方正黑体_GBK" w:eastAsia="方正黑体_GBK" w:cs="宋体" w:hint="eastAsia"/>
          <w:bCs/>
          <w:kern w:val="0"/>
          <w:szCs w:val="32"/>
          <w:lang w:val="zh-CN" w:bidi="zh-CN"/>
        </w:rPr>
        <w:t>推动展产融合</w:t>
      </w:r>
      <w:proofErr w:type="gramEnd"/>
      <w:r>
        <w:rPr>
          <w:rFonts w:ascii="方正黑体_GBK" w:eastAsia="方正黑体_GBK" w:cs="宋体" w:hint="eastAsia"/>
          <w:bCs/>
          <w:kern w:val="0"/>
          <w:szCs w:val="32"/>
          <w:lang w:val="zh-CN" w:bidi="zh-CN"/>
        </w:rPr>
        <w:t>发展</w:t>
      </w:r>
      <w:bookmarkEnd w:id="96"/>
      <w:bookmarkEnd w:id="97"/>
    </w:p>
    <w:bookmarkEnd w:id="104"/>
    <w:p w14:paraId="644138B2" w14:textId="77777777" w:rsidR="001F2B4F" w:rsidRDefault="00000000">
      <w:pPr>
        <w:overflowPunct w:val="0"/>
        <w:adjustRightInd w:val="0"/>
        <w:snapToGrid w:val="0"/>
        <w:spacing w:line="579" w:lineRule="exact"/>
        <w:ind w:firstLineChars="200" w:firstLine="632"/>
        <w:rPr>
          <w:rFonts w:cs="Times New Roman"/>
          <w:szCs w:val="32"/>
        </w:rPr>
      </w:pPr>
      <w:proofErr w:type="gramStart"/>
      <w:r>
        <w:rPr>
          <w:rFonts w:cs="Times New Roman" w:hint="eastAsia"/>
          <w:szCs w:val="32"/>
        </w:rPr>
        <w:t>建立展产融合</w:t>
      </w:r>
      <w:proofErr w:type="gramEnd"/>
      <w:r>
        <w:rPr>
          <w:rFonts w:cs="Times New Roman" w:hint="eastAsia"/>
          <w:szCs w:val="32"/>
        </w:rPr>
        <w:t>发展长效机制，聚焦重点产业</w:t>
      </w:r>
      <w:proofErr w:type="gramStart"/>
      <w:r>
        <w:rPr>
          <w:rFonts w:cs="Times New Roman" w:hint="eastAsia"/>
          <w:szCs w:val="32"/>
        </w:rPr>
        <w:t>链发展</w:t>
      </w:r>
      <w:proofErr w:type="gramEnd"/>
      <w:r>
        <w:rPr>
          <w:rFonts w:cs="Times New Roman" w:hint="eastAsia"/>
          <w:szCs w:val="32"/>
        </w:rPr>
        <w:t>需要与资源特色，推动会展与先进制造业、现代服务业、新经济、都市农业深度融合，形成上下游贯通、全产业价值链融合的发展格局。</w:t>
      </w:r>
    </w:p>
    <w:p w14:paraId="35290072" w14:textId="77777777" w:rsidR="001F2B4F" w:rsidRDefault="00000000">
      <w:pPr>
        <w:overflowPunct w:val="0"/>
        <w:adjustRightInd w:val="0"/>
        <w:snapToGrid w:val="0"/>
        <w:spacing w:line="579" w:lineRule="exact"/>
        <w:ind w:firstLineChars="200" w:firstLine="632"/>
        <w:rPr>
          <w:rFonts w:cs="Times New Roman"/>
          <w:szCs w:val="32"/>
        </w:rPr>
      </w:pPr>
      <w:r>
        <w:rPr>
          <w:rFonts w:eastAsia="方正楷体_GBK" w:cs="方正楷体_GBK" w:hint="eastAsia"/>
          <w:szCs w:val="32"/>
          <w:lang w:val="zh-TW"/>
        </w:rPr>
        <w:t>推动“会展</w:t>
      </w:r>
      <w:r>
        <w:rPr>
          <w:rFonts w:eastAsia="方正楷体_GBK" w:cs="方正楷体_GBK" w:hint="eastAsia"/>
          <w:szCs w:val="32"/>
          <w:lang w:val="zh-TW"/>
        </w:rPr>
        <w:t>+</w:t>
      </w:r>
      <w:r>
        <w:rPr>
          <w:rFonts w:eastAsia="方正楷体_GBK" w:cs="方正楷体_GBK" w:hint="eastAsia"/>
          <w:szCs w:val="32"/>
          <w:lang w:val="zh-TW"/>
        </w:rPr>
        <w:t>先进制造业”融合发展。</w:t>
      </w:r>
      <w:r>
        <w:rPr>
          <w:rFonts w:cs="Times New Roman" w:hint="eastAsia"/>
          <w:szCs w:val="32"/>
        </w:rPr>
        <w:t>推动产业链升级，鼓励本土先进制造业企业参加国外一批影响力大的产业展会，全面展示企业拳头产品，加强产业上下游供需对接。发展会展装备制造，开展深度融合发展试点，引导新型显示、高端软件等产业企业参与打造会展智造园区、营造新型会展场景、创新会展设计与生产模式，支持在展示设计、展台搭建等环节应用新型材料和前沿设施设备。</w:t>
      </w:r>
    </w:p>
    <w:p w14:paraId="0102F1F4" w14:textId="77777777" w:rsidR="001F2B4F" w:rsidRDefault="00000000">
      <w:pPr>
        <w:overflowPunct w:val="0"/>
        <w:adjustRightInd w:val="0"/>
        <w:snapToGrid w:val="0"/>
        <w:spacing w:line="579" w:lineRule="exact"/>
        <w:ind w:firstLineChars="200" w:firstLine="632"/>
        <w:rPr>
          <w:rFonts w:cs="楷体_GB2312"/>
          <w:szCs w:val="32"/>
        </w:rPr>
      </w:pPr>
      <w:bookmarkStart w:id="105" w:name="_Hlk96368236"/>
      <w:r>
        <w:rPr>
          <w:rFonts w:eastAsia="方正楷体_GBK" w:cs="方正楷体_GBK" w:hint="eastAsia"/>
          <w:szCs w:val="32"/>
          <w:lang w:val="zh-TW"/>
        </w:rPr>
        <w:t>推动“会展</w:t>
      </w:r>
      <w:r>
        <w:rPr>
          <w:rFonts w:eastAsia="方正楷体_GBK" w:cs="方正楷体_GBK" w:hint="eastAsia"/>
          <w:szCs w:val="32"/>
          <w:lang w:val="zh-TW"/>
        </w:rPr>
        <w:t>+</w:t>
      </w:r>
      <w:r>
        <w:rPr>
          <w:rFonts w:eastAsia="方正楷体_GBK" w:cs="方正楷体_GBK" w:hint="eastAsia"/>
          <w:szCs w:val="32"/>
          <w:lang w:val="zh-TW"/>
        </w:rPr>
        <w:t>现代服务业”融合发展。</w:t>
      </w:r>
      <w:r>
        <w:rPr>
          <w:rFonts w:cs="Times New Roman" w:hint="eastAsia"/>
          <w:szCs w:val="32"/>
        </w:rPr>
        <w:t>推动会展</w:t>
      </w:r>
      <w:r>
        <w:rPr>
          <w:rFonts w:cs="Times New Roman" w:hint="eastAsia"/>
          <w:szCs w:val="32"/>
        </w:rPr>
        <w:t>+</w:t>
      </w:r>
      <w:proofErr w:type="gramStart"/>
      <w:r>
        <w:rPr>
          <w:rFonts w:cs="Times New Roman" w:hint="eastAsia"/>
          <w:szCs w:val="32"/>
        </w:rPr>
        <w:t>文旅商贸</w:t>
      </w:r>
      <w:proofErr w:type="gramEnd"/>
      <w:r>
        <w:rPr>
          <w:rFonts w:cs="Times New Roman" w:hint="eastAsia"/>
          <w:szCs w:val="32"/>
        </w:rPr>
        <w:t>融合发展，</w:t>
      </w:r>
      <w:r>
        <w:rPr>
          <w:rFonts w:cs="楷体_GB2312" w:hint="eastAsia"/>
          <w:szCs w:val="32"/>
        </w:rPr>
        <w:t>鼓励会展业联合旅游业、物流业、文创业等，创新打造会展小镇、商贸会展产业园区等融合性项目，发展会议度假、商务交往、文博旅游等</w:t>
      </w:r>
      <w:proofErr w:type="gramStart"/>
      <w:r>
        <w:rPr>
          <w:rFonts w:cs="楷体_GB2312" w:hint="eastAsia"/>
          <w:szCs w:val="32"/>
        </w:rPr>
        <w:t>体验业</w:t>
      </w:r>
      <w:proofErr w:type="gramEnd"/>
      <w:r>
        <w:rPr>
          <w:rFonts w:cs="楷体_GB2312" w:hint="eastAsia"/>
          <w:szCs w:val="32"/>
        </w:rPr>
        <w:t>态；鼓励会展与文旅、休闲、购物、时尚、商贸等产业融合，支持举办有国际影响力的时装周、电影节、艺术节等文化展演活动。推动会展与体育融合发展，服务国家体育强国战略，紧抓世界大学生运动会等重大体育赛事举办契机，依托体育场、运动公园、绿道、广场等特色空间，举办体育主题节庆活动，助力开展全民健身，扩大体育消费。</w:t>
      </w:r>
    </w:p>
    <w:p w14:paraId="6908DDA1" w14:textId="77777777" w:rsidR="001F2B4F" w:rsidRDefault="00000000">
      <w:pPr>
        <w:overflowPunct w:val="0"/>
        <w:adjustRightInd w:val="0"/>
        <w:snapToGrid w:val="0"/>
        <w:spacing w:line="579" w:lineRule="exact"/>
        <w:ind w:firstLineChars="200" w:firstLine="632"/>
        <w:rPr>
          <w:rFonts w:cs="Times New Roman"/>
          <w:szCs w:val="32"/>
        </w:rPr>
      </w:pPr>
      <w:r>
        <w:rPr>
          <w:rFonts w:eastAsia="方正楷体_GBK" w:cs="方正楷体_GBK" w:hint="eastAsia"/>
          <w:szCs w:val="32"/>
          <w:lang w:val="zh-TW"/>
        </w:rPr>
        <w:t>推动“会展</w:t>
      </w:r>
      <w:r>
        <w:rPr>
          <w:rFonts w:eastAsia="方正楷体_GBK" w:cs="方正楷体_GBK" w:hint="eastAsia"/>
          <w:szCs w:val="32"/>
          <w:lang w:val="zh-TW"/>
        </w:rPr>
        <w:t>+</w:t>
      </w:r>
      <w:r>
        <w:rPr>
          <w:rFonts w:eastAsia="方正楷体_GBK" w:cs="方正楷体_GBK" w:hint="eastAsia"/>
          <w:szCs w:val="32"/>
          <w:lang w:val="zh-TW"/>
        </w:rPr>
        <w:t>新经济”融合发展</w:t>
      </w:r>
      <w:bookmarkEnd w:id="105"/>
      <w:r>
        <w:rPr>
          <w:rFonts w:eastAsia="方正楷体_GBK" w:cs="方正楷体_GBK" w:hint="eastAsia"/>
          <w:szCs w:val="32"/>
          <w:lang w:val="zh-TW"/>
        </w:rPr>
        <w:t>。</w:t>
      </w:r>
      <w:r>
        <w:rPr>
          <w:rFonts w:cs="Times New Roman" w:hint="eastAsia"/>
          <w:szCs w:val="32"/>
        </w:rPr>
        <w:t>创新会展新技术，鼓励会展</w:t>
      </w:r>
      <w:r>
        <w:rPr>
          <w:rFonts w:cs="Times New Roman" w:hint="eastAsia"/>
          <w:szCs w:val="32"/>
        </w:rPr>
        <w:lastRenderedPageBreak/>
        <w:t>设计、组展、搭建等环节应用节能环保技术的标准化、模块化会展材料和产品，并制定会展垃圾收运处理工作方案，实现模块材料分类、回收、可重复利用。培育会展新业态，以成都会展新经济产业创新基地为引领，发展影像视听、直播、活动策划、企业孵化、</w:t>
      </w:r>
      <w:r>
        <w:rPr>
          <w:rFonts w:cs="Times New Roman" w:hint="eastAsia"/>
          <w:szCs w:val="32"/>
        </w:rPr>
        <w:t>IP</w:t>
      </w:r>
      <w:r>
        <w:rPr>
          <w:rFonts w:cs="Times New Roman" w:hint="eastAsia"/>
          <w:szCs w:val="32"/>
        </w:rPr>
        <w:t>打造等服务，发展智慧会展、云展览等新业态，为城市营销赋能。营造会展新场景，顺应大数据、云计算、人工智能等发展趋势，运用</w:t>
      </w:r>
      <w:r>
        <w:rPr>
          <w:rFonts w:cs="Times New Roman"/>
          <w:szCs w:val="32"/>
        </w:rPr>
        <w:t>CG</w:t>
      </w:r>
      <w:r>
        <w:rPr>
          <w:rFonts w:cs="Times New Roman"/>
          <w:szCs w:val="32"/>
        </w:rPr>
        <w:t>特效、人机交互、</w:t>
      </w:r>
      <w:r>
        <w:rPr>
          <w:rFonts w:cs="Times New Roman"/>
          <w:szCs w:val="32"/>
        </w:rPr>
        <w:t>AI</w:t>
      </w:r>
      <w:r>
        <w:rPr>
          <w:rFonts w:cs="Times New Roman"/>
          <w:szCs w:val="32"/>
        </w:rPr>
        <w:t>人工智能、大数据可视化等</w:t>
      </w:r>
      <w:r>
        <w:rPr>
          <w:rFonts w:cs="Times New Roman" w:hint="eastAsia"/>
          <w:szCs w:val="32"/>
        </w:rPr>
        <w:t>数字技术，推动“数字</w:t>
      </w:r>
      <w:r>
        <w:rPr>
          <w:rFonts w:cs="Times New Roman"/>
          <w:szCs w:val="32"/>
        </w:rPr>
        <w:t>+</w:t>
      </w:r>
      <w:r>
        <w:rPr>
          <w:rFonts w:cs="Times New Roman"/>
          <w:szCs w:val="32"/>
        </w:rPr>
        <w:t>会展</w:t>
      </w:r>
      <w:r>
        <w:rPr>
          <w:rFonts w:cs="Times New Roman"/>
          <w:szCs w:val="32"/>
        </w:rPr>
        <w:t>+</w:t>
      </w:r>
      <w:r>
        <w:rPr>
          <w:rFonts w:cs="Times New Roman"/>
          <w:szCs w:val="32"/>
        </w:rPr>
        <w:t>产业</w:t>
      </w:r>
      <w:r>
        <w:rPr>
          <w:rFonts w:cs="Times New Roman"/>
          <w:szCs w:val="32"/>
        </w:rPr>
        <w:t>”“</w:t>
      </w:r>
      <w:r>
        <w:rPr>
          <w:rFonts w:cs="Times New Roman"/>
          <w:szCs w:val="32"/>
        </w:rPr>
        <w:t>数字</w:t>
      </w:r>
      <w:r>
        <w:rPr>
          <w:rFonts w:cs="Times New Roman"/>
          <w:szCs w:val="32"/>
        </w:rPr>
        <w:t>+</w:t>
      </w:r>
      <w:r>
        <w:rPr>
          <w:rFonts w:cs="Times New Roman"/>
          <w:szCs w:val="32"/>
        </w:rPr>
        <w:t>会展</w:t>
      </w:r>
      <w:r>
        <w:rPr>
          <w:rFonts w:cs="Times New Roman"/>
          <w:szCs w:val="32"/>
        </w:rPr>
        <w:t>+</w:t>
      </w:r>
      <w:r>
        <w:rPr>
          <w:rFonts w:cs="Times New Roman"/>
          <w:szCs w:val="32"/>
        </w:rPr>
        <w:t>体验</w:t>
      </w:r>
      <w:r>
        <w:rPr>
          <w:rFonts w:cs="Times New Roman"/>
          <w:szCs w:val="32"/>
        </w:rPr>
        <w:t>”</w:t>
      </w:r>
      <w:r>
        <w:rPr>
          <w:rFonts w:cs="Times New Roman"/>
          <w:szCs w:val="32"/>
        </w:rPr>
        <w:t>等多角度、多层次新场景加快发展</w:t>
      </w:r>
      <w:r>
        <w:rPr>
          <w:rFonts w:cs="Times New Roman" w:hint="eastAsia"/>
          <w:szCs w:val="32"/>
        </w:rPr>
        <w:t>。</w:t>
      </w:r>
    </w:p>
    <w:p w14:paraId="142B47FA" w14:textId="77777777" w:rsidR="001F2B4F" w:rsidRDefault="00000000">
      <w:pPr>
        <w:overflowPunct w:val="0"/>
        <w:adjustRightInd w:val="0"/>
        <w:snapToGrid w:val="0"/>
        <w:spacing w:line="579" w:lineRule="exact"/>
        <w:ind w:firstLineChars="200" w:firstLine="632"/>
        <w:rPr>
          <w:rFonts w:cs="仿宋"/>
          <w:bCs/>
          <w:szCs w:val="32"/>
        </w:rPr>
      </w:pPr>
      <w:bookmarkStart w:id="106" w:name="_Hlk96351105"/>
      <w:r>
        <w:rPr>
          <w:rFonts w:eastAsia="方正楷体_GBK" w:cs="方正楷体_GBK" w:hint="eastAsia"/>
          <w:szCs w:val="32"/>
          <w:lang w:val="zh-TW"/>
        </w:rPr>
        <w:t>推动“会展</w:t>
      </w:r>
      <w:r>
        <w:rPr>
          <w:rFonts w:eastAsia="方正楷体_GBK" w:cs="方正楷体_GBK" w:hint="eastAsia"/>
          <w:szCs w:val="32"/>
          <w:lang w:val="zh-TW"/>
        </w:rPr>
        <w:t>+</w:t>
      </w:r>
      <w:r>
        <w:rPr>
          <w:rFonts w:eastAsia="方正楷体_GBK" w:cs="方正楷体_GBK" w:hint="eastAsia"/>
          <w:szCs w:val="32"/>
          <w:lang w:val="zh-TW"/>
        </w:rPr>
        <w:t>都市农业”融合发展</w:t>
      </w:r>
      <w:bookmarkEnd w:id="106"/>
      <w:r>
        <w:rPr>
          <w:rFonts w:eastAsia="方正楷体_GBK" w:cs="方正楷体_GBK" w:hint="eastAsia"/>
          <w:szCs w:val="32"/>
          <w:lang w:val="zh-TW"/>
        </w:rPr>
        <w:t>。</w:t>
      </w:r>
      <w:r>
        <w:rPr>
          <w:rFonts w:cs="楷体_GB2312" w:hint="eastAsia"/>
          <w:szCs w:val="32"/>
        </w:rPr>
        <w:t>促进农业展贸一体，围绕</w:t>
      </w:r>
      <w:r>
        <w:rPr>
          <w:rFonts w:cs="仿宋" w:hint="eastAsia"/>
          <w:szCs w:val="32"/>
        </w:rPr>
        <w:t>成都西部片区国家城乡融合发展试验区，高水平建设天府农博园、</w:t>
      </w:r>
      <w:proofErr w:type="gramStart"/>
      <w:r>
        <w:rPr>
          <w:rFonts w:cs="仿宋" w:hint="eastAsia"/>
          <w:szCs w:val="32"/>
        </w:rPr>
        <w:t>蔬博园</w:t>
      </w:r>
      <w:proofErr w:type="gramEnd"/>
      <w:r>
        <w:rPr>
          <w:rFonts w:cs="仿宋" w:hint="eastAsia"/>
          <w:szCs w:val="32"/>
        </w:rPr>
        <w:t>、川菜产业城会展空间，结合现代种业、绿</w:t>
      </w:r>
      <w:r>
        <w:rPr>
          <w:rFonts w:cs="仿宋" w:hint="eastAsia"/>
          <w:bCs/>
          <w:szCs w:val="32"/>
        </w:rPr>
        <w:t>色食品等重点产业，创新室内户外展会模式，全面展示农业高新仪器、精深加工农产品、农资农机等重大成果。促进农业品牌塑造，借助云直播、云洽谈方式，推介连锁经营、物流配送、渠道拓展等都市农业新模式，带动都市农业转型升级、品牌发展，擦亮四川农业金字招牌。</w:t>
      </w:r>
    </w:p>
    <w:p w14:paraId="5B7502A2"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107" w:name="_Toc65700540"/>
      <w:bookmarkStart w:id="108" w:name="_Toc78795972"/>
      <w:bookmarkStart w:id="109" w:name="_Toc78796000"/>
      <w:bookmarkStart w:id="110" w:name="_Toc93092578"/>
      <w:bookmarkStart w:id="111" w:name="_Toc96622382"/>
      <w:bookmarkStart w:id="112" w:name="_Toc65700535"/>
      <w:bookmarkStart w:id="113" w:name="_Toc78795998"/>
      <w:bookmarkStart w:id="114" w:name="_Toc78795970"/>
      <w:bookmarkEnd w:id="98"/>
      <w:bookmarkEnd w:id="99"/>
      <w:r>
        <w:rPr>
          <w:rFonts w:ascii="方正黑体_GBK" w:eastAsia="方正黑体_GBK" w:cs="宋体" w:hint="eastAsia"/>
          <w:bCs/>
          <w:kern w:val="0"/>
          <w:szCs w:val="32"/>
          <w:lang w:val="zh-CN" w:bidi="zh-CN"/>
        </w:rPr>
        <w:t xml:space="preserve">第五节  </w:t>
      </w:r>
      <w:bookmarkEnd w:id="107"/>
      <w:bookmarkEnd w:id="108"/>
      <w:bookmarkEnd w:id="109"/>
      <w:r>
        <w:rPr>
          <w:rFonts w:ascii="方正黑体_GBK" w:eastAsia="方正黑体_GBK" w:cs="宋体" w:hint="eastAsia"/>
          <w:bCs/>
          <w:kern w:val="0"/>
          <w:szCs w:val="32"/>
          <w:lang w:val="zh-CN" w:bidi="zh-CN"/>
        </w:rPr>
        <w:t>促进会展业开放合作</w:t>
      </w:r>
      <w:bookmarkEnd w:id="110"/>
      <w:bookmarkEnd w:id="111"/>
    </w:p>
    <w:p w14:paraId="32F2DF43" w14:textId="77777777" w:rsidR="001F2B4F" w:rsidRDefault="00000000">
      <w:pPr>
        <w:pStyle w:val="a0"/>
        <w:overflowPunct w:val="0"/>
        <w:adjustRightInd w:val="0"/>
        <w:snapToGrid w:val="0"/>
        <w:spacing w:after="0" w:line="579" w:lineRule="exact"/>
        <w:ind w:firstLine="632"/>
        <w:rPr>
          <w:rFonts w:eastAsia="方正楷体_GBK" w:cs="方正楷体_GBK"/>
          <w:lang w:val="zh-TW"/>
        </w:rPr>
      </w:pPr>
      <w:bookmarkStart w:id="115" w:name="_Toc65700541"/>
      <w:bookmarkStart w:id="116" w:name="_Toc65700543"/>
      <w:r>
        <w:rPr>
          <w:rFonts w:hint="eastAsia"/>
        </w:rPr>
        <w:t>坚持以融入“一带一路”建设、服务新发展格局为引领，用好用活国内国际会展市场和资源，提升成都会展国际影响力，助力成都建设国际门户枢纽。</w:t>
      </w:r>
    </w:p>
    <w:p w14:paraId="2A6BE216"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加强</w:t>
      </w:r>
      <w:r>
        <w:rPr>
          <w:rFonts w:eastAsia="方正楷体_GBK" w:cs="方正楷体_GBK"/>
          <w:szCs w:val="32"/>
          <w:lang w:val="zh-TW"/>
        </w:rPr>
        <w:t>国际交流</w:t>
      </w:r>
      <w:bookmarkEnd w:id="115"/>
      <w:r>
        <w:rPr>
          <w:rFonts w:eastAsia="方正楷体_GBK" w:cs="方正楷体_GBK"/>
          <w:szCs w:val="32"/>
          <w:lang w:val="zh-TW"/>
        </w:rPr>
        <w:t>交往</w:t>
      </w:r>
      <w:r>
        <w:rPr>
          <w:rFonts w:eastAsia="方正楷体_GBK" w:cs="方正楷体_GBK" w:hint="eastAsia"/>
          <w:szCs w:val="32"/>
          <w:lang w:val="zh-TW"/>
        </w:rPr>
        <w:t>。</w:t>
      </w:r>
      <w:r>
        <w:rPr>
          <w:rFonts w:cs="楷体_GB2312" w:hint="eastAsia"/>
          <w:szCs w:val="32"/>
        </w:rPr>
        <w:t>推动国际交流合作，</w:t>
      </w:r>
      <w:r>
        <w:rPr>
          <w:rFonts w:cs="楷体_GB2312" w:hint="eastAsia"/>
          <w:bCs/>
          <w:szCs w:val="32"/>
        </w:rPr>
        <w:t>拓展与“一带一路”</w:t>
      </w:r>
      <w:r>
        <w:rPr>
          <w:rFonts w:cs="楷体_GB2312" w:hint="eastAsia"/>
          <w:bCs/>
          <w:szCs w:val="32"/>
        </w:rPr>
        <w:lastRenderedPageBreak/>
        <w:t>沿线国家和地区、</w:t>
      </w:r>
      <w:r>
        <w:rPr>
          <w:rFonts w:cs="楷体_GB2312"/>
          <w:bCs/>
          <w:szCs w:val="32"/>
        </w:rPr>
        <w:t>RECP</w:t>
      </w:r>
      <w:r>
        <w:rPr>
          <w:rFonts w:cs="楷体_GB2312" w:hint="eastAsia"/>
          <w:bCs/>
          <w:szCs w:val="32"/>
        </w:rPr>
        <w:t>成员国的商协会和经贸组织的交流广度和深度，打造“一带一路”对外交往中心，加快把外事资源转化为开放合作优势，强化会展信息交流、项目和资本合作。推动成都会展“走出去”，支持企业优化国际市场布局，鼓励本土龙头会展机构和组织在海外设立分支机构；充分发挥中国—中东欧国家联合商会成都联络办公室的作用，策划和培育更多高规格、高能级的境外展览项目，双向互邀企业参展参会。</w:t>
      </w:r>
    </w:p>
    <w:p w14:paraId="07CD2A2E" w14:textId="77777777" w:rsidR="001F2B4F" w:rsidRDefault="00000000">
      <w:pPr>
        <w:overflowPunct w:val="0"/>
        <w:adjustRightInd w:val="0"/>
        <w:snapToGrid w:val="0"/>
        <w:spacing w:line="579" w:lineRule="exact"/>
        <w:ind w:firstLineChars="200" w:firstLine="632"/>
        <w:rPr>
          <w:rFonts w:cs="楷体_GB2312"/>
          <w:bCs/>
          <w:szCs w:val="32"/>
        </w:rPr>
      </w:pPr>
      <w:bookmarkStart w:id="117" w:name="_Toc65700542"/>
      <w:r>
        <w:rPr>
          <w:rFonts w:eastAsia="方正楷体_GBK" w:cs="方正楷体_GBK" w:hint="eastAsia"/>
          <w:szCs w:val="32"/>
          <w:lang w:val="zh-TW"/>
        </w:rPr>
        <w:t>提升</w:t>
      </w:r>
      <w:r>
        <w:rPr>
          <w:rFonts w:eastAsia="方正楷体_GBK" w:cs="方正楷体_GBK"/>
          <w:szCs w:val="32"/>
          <w:lang w:val="zh-TW"/>
        </w:rPr>
        <w:t>国际会展话语</w:t>
      </w:r>
      <w:bookmarkEnd w:id="117"/>
      <w:r>
        <w:rPr>
          <w:rFonts w:eastAsia="方正楷体_GBK" w:cs="方正楷体_GBK" w:hint="eastAsia"/>
          <w:szCs w:val="32"/>
          <w:lang w:val="zh-TW"/>
        </w:rPr>
        <w:t>权。</w:t>
      </w:r>
      <w:r>
        <w:rPr>
          <w:rFonts w:cs="楷体_GB2312" w:hint="eastAsia"/>
          <w:bCs/>
          <w:szCs w:val="32"/>
        </w:rPr>
        <w:t>推动展会国际认证，加强与</w:t>
      </w:r>
      <w:r>
        <w:rPr>
          <w:rFonts w:cs="楷体_GB2312" w:hint="eastAsia"/>
          <w:bCs/>
          <w:szCs w:val="32"/>
        </w:rPr>
        <w:t>UFI</w:t>
      </w:r>
      <w:r>
        <w:rPr>
          <w:rFonts w:cs="楷体_GB2312" w:hint="eastAsia"/>
          <w:bCs/>
          <w:szCs w:val="32"/>
        </w:rPr>
        <w:t>（国际展览业协会）、</w:t>
      </w:r>
      <w:r>
        <w:rPr>
          <w:rFonts w:cs="楷体_GB2312" w:hint="eastAsia"/>
          <w:bCs/>
          <w:szCs w:val="32"/>
        </w:rPr>
        <w:t>ICCA</w:t>
      </w:r>
      <w:r>
        <w:rPr>
          <w:rFonts w:cs="楷体_GB2312" w:hint="eastAsia"/>
          <w:bCs/>
          <w:szCs w:val="32"/>
        </w:rPr>
        <w:t>（国际大会及会议协会）</w:t>
      </w:r>
      <w:r>
        <w:rPr>
          <w:rFonts w:cs="楷体_GB2312"/>
          <w:bCs/>
          <w:szCs w:val="32"/>
        </w:rPr>
        <w:t>、</w:t>
      </w:r>
      <w:r>
        <w:rPr>
          <w:rFonts w:cs="楷体_GB2312" w:hint="eastAsia"/>
          <w:bCs/>
          <w:szCs w:val="32"/>
        </w:rPr>
        <w:t>IAEE</w:t>
      </w:r>
      <w:r>
        <w:rPr>
          <w:rFonts w:cs="楷体_GB2312" w:hint="eastAsia"/>
          <w:bCs/>
          <w:szCs w:val="32"/>
        </w:rPr>
        <w:t>（国际展览和项目协会）、</w:t>
      </w:r>
      <w:r>
        <w:rPr>
          <w:rFonts w:cs="楷体_GB2312" w:hint="eastAsia"/>
          <w:bCs/>
          <w:szCs w:val="32"/>
        </w:rPr>
        <w:t>SISO</w:t>
      </w:r>
      <w:r>
        <w:rPr>
          <w:rFonts w:cs="楷体_GB2312" w:hint="eastAsia"/>
          <w:bCs/>
          <w:szCs w:val="32"/>
        </w:rPr>
        <w:t>（独立组展商协会）等会展国际权威机构联系</w:t>
      </w:r>
      <w:r>
        <w:rPr>
          <w:rFonts w:cs="楷体_GB2312"/>
          <w:bCs/>
          <w:szCs w:val="32"/>
        </w:rPr>
        <w:t>，</w:t>
      </w:r>
      <w:r>
        <w:rPr>
          <w:rFonts w:cs="楷体_GB2312" w:hint="eastAsia"/>
          <w:bCs/>
          <w:szCs w:val="32"/>
        </w:rPr>
        <w:t>推动本地会展企业、展会项目、会展场馆、会展行业组织等争取国际机构认证，提升成都会展国际知名度。</w:t>
      </w:r>
      <w:r>
        <w:rPr>
          <w:rFonts w:cs="楷体_GB2312"/>
          <w:bCs/>
          <w:szCs w:val="32"/>
        </w:rPr>
        <w:t>加强</w:t>
      </w:r>
      <w:r>
        <w:rPr>
          <w:rFonts w:cs="楷体_GB2312" w:hint="eastAsia"/>
          <w:bCs/>
          <w:szCs w:val="32"/>
        </w:rPr>
        <w:t>与国际</w:t>
      </w:r>
      <w:r>
        <w:rPr>
          <w:rFonts w:cs="楷体_GB2312"/>
          <w:bCs/>
          <w:szCs w:val="32"/>
        </w:rPr>
        <w:t>会展</w:t>
      </w:r>
      <w:r>
        <w:rPr>
          <w:rFonts w:cs="楷体_GB2312" w:hint="eastAsia"/>
          <w:bCs/>
          <w:szCs w:val="32"/>
        </w:rPr>
        <w:t>智库</w:t>
      </w:r>
      <w:r>
        <w:rPr>
          <w:rFonts w:cs="楷体_GB2312"/>
          <w:bCs/>
          <w:szCs w:val="32"/>
        </w:rPr>
        <w:t>合作</w:t>
      </w:r>
      <w:r>
        <w:rPr>
          <w:rFonts w:cs="楷体_GB2312" w:hint="eastAsia"/>
          <w:bCs/>
          <w:szCs w:val="32"/>
        </w:rPr>
        <w:t>，与国际会议研究及培训中心（</w:t>
      </w:r>
      <w:r>
        <w:rPr>
          <w:rFonts w:cs="楷体_GB2312" w:hint="eastAsia"/>
          <w:bCs/>
          <w:szCs w:val="32"/>
        </w:rPr>
        <w:t>CIMERT</w:t>
      </w:r>
      <w:r>
        <w:rPr>
          <w:rFonts w:cs="楷体_GB2312" w:hint="eastAsia"/>
          <w:bCs/>
          <w:szCs w:val="32"/>
        </w:rPr>
        <w:t>）</w:t>
      </w:r>
      <w:r>
        <w:rPr>
          <w:rFonts w:cs="楷体_GB2312"/>
          <w:bCs/>
          <w:szCs w:val="32"/>
        </w:rPr>
        <w:t>开展会展新经济、会展新业态等</w:t>
      </w:r>
      <w:r>
        <w:rPr>
          <w:rFonts w:cs="楷体_GB2312" w:hint="eastAsia"/>
          <w:bCs/>
          <w:szCs w:val="32"/>
        </w:rPr>
        <w:t>领域</w:t>
      </w:r>
      <w:r>
        <w:rPr>
          <w:rFonts w:cs="楷体_GB2312"/>
          <w:bCs/>
          <w:szCs w:val="32"/>
        </w:rPr>
        <w:t>研究</w:t>
      </w:r>
      <w:r>
        <w:rPr>
          <w:rFonts w:cs="楷体_GB2312" w:hint="eastAsia"/>
          <w:bCs/>
          <w:szCs w:val="32"/>
        </w:rPr>
        <w:t>，推动成都</w:t>
      </w:r>
      <w:r>
        <w:rPr>
          <w:rFonts w:cs="楷体_GB2312"/>
          <w:bCs/>
          <w:szCs w:val="32"/>
        </w:rPr>
        <w:t>会展模式对外输出</w:t>
      </w:r>
      <w:r>
        <w:rPr>
          <w:rFonts w:cs="楷体_GB2312" w:hint="eastAsia"/>
          <w:bCs/>
          <w:szCs w:val="32"/>
        </w:rPr>
        <w:t>，扩大成都会展业国际影响力和话语权。</w:t>
      </w:r>
    </w:p>
    <w:p w14:paraId="64D7E56D" w14:textId="77777777" w:rsidR="001F2B4F" w:rsidRDefault="00000000">
      <w:pPr>
        <w:overflowPunct w:val="0"/>
        <w:adjustRightInd w:val="0"/>
        <w:snapToGrid w:val="0"/>
        <w:spacing w:line="579" w:lineRule="exact"/>
        <w:ind w:firstLineChars="200" w:firstLine="632"/>
        <w:rPr>
          <w:rFonts w:cs="楷体_GB2312"/>
          <w:szCs w:val="32"/>
        </w:rPr>
      </w:pPr>
      <w:r>
        <w:rPr>
          <w:rFonts w:eastAsia="方正楷体_GBK" w:cs="方正楷体_GBK" w:hint="eastAsia"/>
          <w:szCs w:val="32"/>
          <w:lang w:val="zh-TW"/>
        </w:rPr>
        <w:t>提升会展国际化水平。</w:t>
      </w:r>
      <w:r>
        <w:rPr>
          <w:rFonts w:cs="楷体_GB2312" w:hint="eastAsia"/>
          <w:szCs w:val="32"/>
        </w:rPr>
        <w:t>提高国际展会比例，加大国际高端展会培育力度，引导和推动有潜力的主题相近或行业相关的中小型展会联合（合并）办展；引进重要国际展览和会议，</w:t>
      </w:r>
      <w:r>
        <w:rPr>
          <w:rFonts w:cs="楷体_GB2312"/>
          <w:szCs w:val="32"/>
        </w:rPr>
        <w:t>提升</w:t>
      </w:r>
      <w:r>
        <w:rPr>
          <w:rFonts w:cs="楷体_GB2312" w:hint="eastAsia"/>
          <w:szCs w:val="32"/>
        </w:rPr>
        <w:t>国际展会</w:t>
      </w:r>
      <w:r>
        <w:rPr>
          <w:rFonts w:cs="楷体_GB2312"/>
          <w:szCs w:val="32"/>
        </w:rPr>
        <w:t>组织</w:t>
      </w:r>
      <w:r>
        <w:rPr>
          <w:rFonts w:cs="楷体_GB2312" w:hint="eastAsia"/>
          <w:szCs w:val="32"/>
        </w:rPr>
        <w:t>管理</w:t>
      </w:r>
      <w:r>
        <w:rPr>
          <w:rFonts w:cs="楷体_GB2312"/>
          <w:szCs w:val="32"/>
        </w:rPr>
        <w:t>水平</w:t>
      </w:r>
      <w:r>
        <w:rPr>
          <w:rFonts w:cs="楷体_GB2312" w:hint="eastAsia"/>
          <w:szCs w:val="32"/>
        </w:rPr>
        <w:t>。提高国际参展商和专业观众比例，拓展海外市场，加大国际展商定向宣传力度，发挥会展行业组织和贸促会作用，重点加强与“一带一路”、区域全面经济伙伴关系协定（</w:t>
      </w:r>
      <w:r>
        <w:rPr>
          <w:rFonts w:cs="楷体_GB2312"/>
          <w:szCs w:val="32"/>
        </w:rPr>
        <w:t>RCEP</w:t>
      </w:r>
      <w:r>
        <w:rPr>
          <w:rFonts w:cs="楷体_GB2312"/>
          <w:szCs w:val="32"/>
        </w:rPr>
        <w:t>）等国家</w:t>
      </w:r>
      <w:r>
        <w:rPr>
          <w:rFonts w:cs="楷体_GB2312" w:hint="eastAsia"/>
          <w:szCs w:val="32"/>
        </w:rPr>
        <w:t>行业协会建立密切联系，吸引</w:t>
      </w:r>
      <w:r>
        <w:rPr>
          <w:rFonts w:cs="楷体_GB2312"/>
          <w:szCs w:val="32"/>
        </w:rPr>
        <w:t>优质参展商</w:t>
      </w:r>
      <w:r>
        <w:rPr>
          <w:rFonts w:cs="楷体_GB2312" w:hint="eastAsia"/>
          <w:szCs w:val="32"/>
        </w:rPr>
        <w:t>、</w:t>
      </w:r>
      <w:r>
        <w:rPr>
          <w:rFonts w:cs="楷体_GB2312"/>
          <w:szCs w:val="32"/>
        </w:rPr>
        <w:t>采购商</w:t>
      </w:r>
      <w:r>
        <w:rPr>
          <w:rFonts w:cs="楷体_GB2312" w:hint="eastAsia"/>
          <w:szCs w:val="32"/>
        </w:rPr>
        <w:t>和专业</w:t>
      </w:r>
      <w:r>
        <w:rPr>
          <w:rFonts w:cs="楷体_GB2312" w:hint="eastAsia"/>
          <w:szCs w:val="32"/>
        </w:rPr>
        <w:lastRenderedPageBreak/>
        <w:t>观众来蓉参展和休闲消费。</w:t>
      </w:r>
    </w:p>
    <w:p w14:paraId="498961B6"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加强会展</w:t>
      </w:r>
      <w:r>
        <w:rPr>
          <w:rFonts w:eastAsia="方正楷体_GBK" w:cs="方正楷体_GBK"/>
          <w:szCs w:val="32"/>
          <w:lang w:val="zh-TW"/>
        </w:rPr>
        <w:t>市场营销</w:t>
      </w:r>
      <w:bookmarkEnd w:id="116"/>
      <w:r>
        <w:rPr>
          <w:rFonts w:eastAsia="方正楷体_GBK" w:cs="方正楷体_GBK" w:hint="eastAsia"/>
          <w:szCs w:val="32"/>
          <w:lang w:val="zh-TW"/>
        </w:rPr>
        <w:t>。</w:t>
      </w:r>
      <w:bookmarkEnd w:id="112"/>
      <w:bookmarkEnd w:id="113"/>
      <w:bookmarkEnd w:id="114"/>
      <w:r>
        <w:rPr>
          <w:rFonts w:cs="楷体_GB2312" w:hint="eastAsia"/>
          <w:bCs/>
          <w:szCs w:val="32"/>
        </w:rPr>
        <w:t>成立会展营销联盟，主动融入世界文化名城、“三城三都”等城市品牌营销，</w:t>
      </w:r>
      <w:proofErr w:type="gramStart"/>
      <w:r>
        <w:rPr>
          <w:rFonts w:cs="楷体_GB2312" w:hint="eastAsia"/>
          <w:bCs/>
          <w:szCs w:val="32"/>
        </w:rPr>
        <w:t>整合各级</w:t>
      </w:r>
      <w:proofErr w:type="gramEnd"/>
      <w:r>
        <w:rPr>
          <w:rFonts w:cs="楷体_GB2312" w:hint="eastAsia"/>
          <w:bCs/>
          <w:szCs w:val="32"/>
        </w:rPr>
        <w:t>政府部门、商会协会、会展企业、会展场馆、会议服务机构、会议型酒店组成的资源力量，制定面向全球的宣传推广计划，推介成都会展资源优势、展会项目、营商环境等，打造国际会展之都形象展示窗口。建立重大展会活动的宣传营销机制，加强与国内外知名媒体深度宣传合作，开展新媒体整合营销、大数据精准营销，吸引更多组展机构、投资公司、平台企业来蓉发展。</w:t>
      </w:r>
    </w:p>
    <w:p w14:paraId="36765829"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118" w:name="_Toc93092579"/>
      <w:bookmarkStart w:id="119" w:name="_Toc96622383"/>
      <w:r>
        <w:rPr>
          <w:rFonts w:ascii="方正黑体_GBK" w:eastAsia="方正黑体_GBK" w:cs="宋体" w:hint="eastAsia"/>
          <w:bCs/>
          <w:kern w:val="0"/>
          <w:szCs w:val="32"/>
          <w:lang w:val="zh-CN" w:bidi="zh-CN"/>
        </w:rPr>
        <w:t>第六节  完善会展</w:t>
      </w:r>
      <w:proofErr w:type="gramStart"/>
      <w:r>
        <w:rPr>
          <w:rFonts w:ascii="方正黑体_GBK" w:eastAsia="方正黑体_GBK" w:cs="宋体" w:hint="eastAsia"/>
          <w:bCs/>
          <w:kern w:val="0"/>
          <w:szCs w:val="32"/>
          <w:lang w:val="zh-CN" w:bidi="zh-CN"/>
        </w:rPr>
        <w:t>业配套</w:t>
      </w:r>
      <w:bookmarkStart w:id="120" w:name="_Toc65700551"/>
      <w:bookmarkStart w:id="121" w:name="_Toc65700552"/>
      <w:bookmarkEnd w:id="118"/>
      <w:proofErr w:type="gramEnd"/>
      <w:r>
        <w:rPr>
          <w:rFonts w:ascii="方正黑体_GBK" w:eastAsia="方正黑体_GBK" w:cs="宋体" w:hint="eastAsia"/>
          <w:bCs/>
          <w:kern w:val="0"/>
          <w:szCs w:val="32"/>
          <w:lang w:val="zh-CN" w:bidi="zh-CN"/>
        </w:rPr>
        <w:t>服务</w:t>
      </w:r>
      <w:bookmarkEnd w:id="119"/>
    </w:p>
    <w:p w14:paraId="7520FCF3"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szCs w:val="32"/>
          <w:lang w:val="zh-TW"/>
        </w:rPr>
        <w:t>提升</w:t>
      </w:r>
      <w:r>
        <w:rPr>
          <w:rFonts w:eastAsia="方正楷体_GBK" w:cs="方正楷体_GBK" w:hint="eastAsia"/>
          <w:szCs w:val="32"/>
          <w:lang w:val="zh-TW"/>
        </w:rPr>
        <w:t>会展</w:t>
      </w:r>
      <w:r>
        <w:rPr>
          <w:rFonts w:eastAsia="方正楷体_GBK" w:cs="方正楷体_GBK"/>
          <w:szCs w:val="32"/>
          <w:lang w:val="zh-TW"/>
        </w:rPr>
        <w:t>综合配套设施</w:t>
      </w:r>
      <w:r>
        <w:rPr>
          <w:rFonts w:eastAsia="方正楷体_GBK" w:cs="方正楷体_GBK" w:hint="eastAsia"/>
          <w:szCs w:val="32"/>
          <w:lang w:val="zh-TW"/>
        </w:rPr>
        <w:t>。</w:t>
      </w:r>
      <w:r>
        <w:rPr>
          <w:rFonts w:cs="楷体_GB2312" w:hint="eastAsia"/>
          <w:szCs w:val="32"/>
        </w:rPr>
        <w:t>提升</w:t>
      </w:r>
      <w:r>
        <w:rPr>
          <w:rFonts w:cs="楷体_GB2312" w:hint="eastAsia"/>
          <w:szCs w:val="32"/>
          <w:lang w:bidi="ar"/>
        </w:rPr>
        <w:t>中国西部国际博览城、</w:t>
      </w:r>
      <w:r>
        <w:rPr>
          <w:rFonts w:cs="楷体_GB2312"/>
          <w:szCs w:val="32"/>
        </w:rPr>
        <w:t>成都世纪城新国际会展中心</w:t>
      </w:r>
      <w:r>
        <w:rPr>
          <w:rFonts w:cs="楷体_GB2312" w:hint="eastAsia"/>
          <w:szCs w:val="32"/>
          <w:lang w:bidi="ar"/>
        </w:rPr>
        <w:t>等专业场馆周边交通、物流、餐饮、住宿、商贸、娱乐等配套设施，加强专业场馆与酒店集群和商业综合体等在会展活动中的协同合作，提升会展带动效应。提升会展服务配套，打造会展专业楼宇，吸引集聚会展产业链上下游企业、常年展示和贸易型企业、大型企业总部、金融机构、研发机构等，形成有影响力的、知名度较高的会展服务企业集群。</w:t>
      </w:r>
      <w:r>
        <w:rPr>
          <w:rFonts w:cs="楷体_GB2312"/>
          <w:szCs w:val="32"/>
        </w:rPr>
        <w:t>提升</w:t>
      </w:r>
      <w:r>
        <w:rPr>
          <w:rFonts w:cs="楷体_GB2312" w:hint="eastAsia"/>
          <w:szCs w:val="32"/>
          <w:lang w:bidi="ar"/>
        </w:rPr>
        <w:t>交通物流配套，加快推进通达专业场馆的机场快线建设，开通机场、火车站至各场馆的“绿色通道”，做好展期临时交通管制，加快重要交通物流节点的仓储、冷链设施建设，规划大型会展专用物流轮候区。</w:t>
      </w:r>
    </w:p>
    <w:p w14:paraId="0D94F13D" w14:textId="77777777" w:rsidR="001F2B4F" w:rsidRDefault="00000000">
      <w:pPr>
        <w:overflowPunct w:val="0"/>
        <w:adjustRightInd w:val="0"/>
        <w:snapToGrid w:val="0"/>
        <w:spacing w:line="579" w:lineRule="exact"/>
        <w:ind w:firstLineChars="200" w:firstLine="632"/>
        <w:rPr>
          <w:rFonts w:cs="楷体_GB2312"/>
          <w:szCs w:val="32"/>
          <w:lang w:bidi="ar"/>
        </w:rPr>
      </w:pPr>
      <w:r>
        <w:rPr>
          <w:rFonts w:eastAsia="方正楷体_GBK" w:cs="方正楷体_GBK" w:hint="eastAsia"/>
          <w:szCs w:val="32"/>
          <w:lang w:val="zh-TW"/>
        </w:rPr>
        <w:t>提升</w:t>
      </w:r>
      <w:r>
        <w:rPr>
          <w:rFonts w:eastAsia="方正楷体_GBK" w:cs="方正楷体_GBK"/>
          <w:szCs w:val="32"/>
          <w:lang w:val="zh-TW"/>
        </w:rPr>
        <w:t>会展国际服务能力</w:t>
      </w:r>
      <w:bookmarkEnd w:id="120"/>
      <w:r>
        <w:rPr>
          <w:rFonts w:eastAsia="方正楷体_GBK" w:cs="方正楷体_GBK" w:hint="eastAsia"/>
          <w:szCs w:val="32"/>
          <w:lang w:val="zh-TW"/>
        </w:rPr>
        <w:t>。</w:t>
      </w:r>
      <w:r>
        <w:rPr>
          <w:rFonts w:cs="楷体_GB2312" w:hint="eastAsia"/>
          <w:szCs w:val="32"/>
        </w:rPr>
        <w:t>创新与成都海关协调合作机制，探</w:t>
      </w:r>
      <w:r>
        <w:rPr>
          <w:rFonts w:cs="楷体_GB2312" w:hint="eastAsia"/>
          <w:szCs w:val="32"/>
        </w:rPr>
        <w:lastRenderedPageBreak/>
        <w:t>索</w:t>
      </w:r>
      <w:r>
        <w:rPr>
          <w:rFonts w:cs="楷体_GB2312" w:hint="eastAsia"/>
          <w:szCs w:val="32"/>
          <w:lang w:bidi="ar"/>
        </w:rPr>
        <w:t>国际会展检验检疫监管模式，</w:t>
      </w:r>
      <w:r>
        <w:rPr>
          <w:rFonts w:cs="楷体_GB2312"/>
          <w:szCs w:val="32"/>
          <w:lang w:bidi="ar"/>
        </w:rPr>
        <w:t>推动海关探索简化展品入境签证手续</w:t>
      </w:r>
      <w:r>
        <w:rPr>
          <w:rFonts w:cs="楷体_GB2312" w:hint="eastAsia"/>
          <w:szCs w:val="32"/>
          <w:lang w:bidi="ar"/>
        </w:rPr>
        <w:t>，</w:t>
      </w:r>
      <w:r>
        <w:rPr>
          <w:rFonts w:cs="楷体_GB2312"/>
          <w:szCs w:val="32"/>
          <w:lang w:bidi="ar"/>
        </w:rPr>
        <w:t>提升国际展会通关便利化水平</w:t>
      </w:r>
      <w:r>
        <w:rPr>
          <w:rFonts w:cs="楷体_GB2312" w:hint="eastAsia"/>
          <w:szCs w:val="32"/>
          <w:lang w:bidi="ar"/>
        </w:rPr>
        <w:t>。</w:t>
      </w:r>
      <w:r>
        <w:rPr>
          <w:rFonts w:cs="楷体_GB2312"/>
          <w:szCs w:val="32"/>
        </w:rPr>
        <w:t>提升</w:t>
      </w:r>
      <w:proofErr w:type="gramStart"/>
      <w:r>
        <w:rPr>
          <w:rFonts w:cs="楷体_GB2312" w:hint="eastAsia"/>
          <w:szCs w:val="32"/>
        </w:rPr>
        <w:t>展会审批</w:t>
      </w:r>
      <w:proofErr w:type="gramEnd"/>
      <w:r>
        <w:rPr>
          <w:rFonts w:cs="楷体_GB2312" w:hint="eastAsia"/>
          <w:szCs w:val="32"/>
        </w:rPr>
        <w:t>服务，完善与国际接轨的监管服务标准体系，简化审批流程，</w:t>
      </w:r>
      <w:r>
        <w:rPr>
          <w:rFonts w:cs="楷体_GB2312"/>
          <w:szCs w:val="32"/>
        </w:rPr>
        <w:t>推行</w:t>
      </w:r>
      <w:r>
        <w:rPr>
          <w:rFonts w:cs="楷体_GB2312"/>
          <w:szCs w:val="32"/>
        </w:rPr>
        <w:t>“</w:t>
      </w:r>
      <w:r>
        <w:rPr>
          <w:rFonts w:cs="楷体_GB2312"/>
          <w:szCs w:val="32"/>
        </w:rPr>
        <w:t>一站式</w:t>
      </w:r>
      <w:r>
        <w:rPr>
          <w:rFonts w:cs="楷体_GB2312"/>
          <w:szCs w:val="32"/>
        </w:rPr>
        <w:t>”</w:t>
      </w:r>
      <w:r>
        <w:rPr>
          <w:rFonts w:cs="楷体_GB2312"/>
          <w:szCs w:val="32"/>
        </w:rPr>
        <w:t>展会报批服务</w:t>
      </w:r>
      <w:r>
        <w:rPr>
          <w:rFonts w:cs="楷体_GB2312" w:hint="eastAsia"/>
          <w:szCs w:val="32"/>
        </w:rPr>
        <w:t>。</w:t>
      </w:r>
      <w:r>
        <w:rPr>
          <w:rFonts w:cs="楷体_GB2312"/>
          <w:szCs w:val="32"/>
        </w:rPr>
        <w:t>提升</w:t>
      </w:r>
      <w:r>
        <w:rPr>
          <w:rFonts w:cs="楷体_GB2312" w:hint="eastAsia"/>
          <w:szCs w:val="32"/>
        </w:rPr>
        <w:t>交通运输服务，优化专业场馆航空配套服务，探索联程联运及行李直挂业务。</w:t>
      </w:r>
      <w:r>
        <w:rPr>
          <w:rFonts w:cs="楷体_GB2312"/>
          <w:szCs w:val="32"/>
        </w:rPr>
        <w:t>提升</w:t>
      </w:r>
      <w:r>
        <w:rPr>
          <w:rFonts w:cs="楷体_GB2312" w:hint="eastAsia"/>
          <w:szCs w:val="32"/>
        </w:rPr>
        <w:t>国际接待服务，规范设置会展载体及周边区域的中英文双语导视标识系统，加强对会展从业人员进行涉外培训，</w:t>
      </w:r>
      <w:r>
        <w:rPr>
          <w:rFonts w:cs="楷体_GB2312" w:hint="eastAsia"/>
          <w:szCs w:val="32"/>
          <w:lang w:bidi="ar"/>
        </w:rPr>
        <w:t>为国际性展会活动提供便利化服务。</w:t>
      </w:r>
      <w:r>
        <w:rPr>
          <w:rFonts w:cs="楷体_GB2312"/>
          <w:szCs w:val="32"/>
        </w:rPr>
        <w:t>提升</w:t>
      </w:r>
      <w:r>
        <w:rPr>
          <w:rFonts w:cs="楷体_GB2312" w:hint="eastAsia"/>
          <w:szCs w:val="32"/>
        </w:rPr>
        <w:t>会展</w:t>
      </w:r>
      <w:r>
        <w:rPr>
          <w:rFonts w:cs="楷体_GB2312"/>
          <w:szCs w:val="32"/>
          <w:lang w:bidi="ar"/>
        </w:rPr>
        <w:t>金融服务</w:t>
      </w:r>
      <w:r>
        <w:rPr>
          <w:rFonts w:cs="楷体_GB2312" w:hint="eastAsia"/>
          <w:szCs w:val="32"/>
          <w:lang w:bidi="ar"/>
        </w:rPr>
        <w:t>，</w:t>
      </w:r>
      <w:r>
        <w:rPr>
          <w:rFonts w:cs="楷体_GB2312"/>
          <w:szCs w:val="32"/>
        </w:rPr>
        <w:t>支持智能移动支付、数字普惠金融等相关领域创新发展</w:t>
      </w:r>
      <w:r>
        <w:rPr>
          <w:rFonts w:cs="楷体_GB2312" w:hint="eastAsia"/>
          <w:szCs w:val="32"/>
        </w:rPr>
        <w:t>，</w:t>
      </w:r>
      <w:r>
        <w:rPr>
          <w:rFonts w:cs="楷体_GB2312"/>
          <w:szCs w:val="32"/>
          <w:lang w:bidi="ar"/>
        </w:rPr>
        <w:t>提供货币兑换、交易结算、离境退税、</w:t>
      </w:r>
      <w:r>
        <w:rPr>
          <w:rFonts w:cs="楷体_GB2312" w:hint="eastAsia"/>
          <w:szCs w:val="32"/>
          <w:lang w:bidi="ar"/>
        </w:rPr>
        <w:t>主流</w:t>
      </w:r>
      <w:r>
        <w:rPr>
          <w:rFonts w:cs="楷体_GB2312"/>
          <w:szCs w:val="32"/>
          <w:lang w:bidi="ar"/>
        </w:rPr>
        <w:t>外卡跨境支付等服务。</w:t>
      </w:r>
    </w:p>
    <w:p w14:paraId="25F7677C"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营造</w:t>
      </w:r>
      <w:r>
        <w:rPr>
          <w:rFonts w:eastAsia="方正楷体_GBK" w:cs="方正楷体_GBK"/>
          <w:szCs w:val="32"/>
          <w:lang w:val="zh-TW"/>
        </w:rPr>
        <w:t>会展特色消费场景</w:t>
      </w:r>
      <w:bookmarkEnd w:id="121"/>
      <w:r>
        <w:rPr>
          <w:rFonts w:eastAsia="方正楷体_GBK" w:cs="方正楷体_GBK" w:hint="eastAsia"/>
          <w:szCs w:val="32"/>
          <w:lang w:val="zh-TW"/>
        </w:rPr>
        <w:t>。</w:t>
      </w:r>
      <w:r>
        <w:rPr>
          <w:rFonts w:cs="楷体_GB2312" w:hint="eastAsia"/>
          <w:bCs/>
          <w:szCs w:val="32"/>
        </w:rPr>
        <w:t>营造交流交往消费场景，</w:t>
      </w:r>
      <w:r>
        <w:rPr>
          <w:rFonts w:cs="楷体_GB2312"/>
          <w:bCs/>
          <w:szCs w:val="32"/>
        </w:rPr>
        <w:t>依托</w:t>
      </w:r>
      <w:r>
        <w:rPr>
          <w:rFonts w:cs="楷体_GB2312" w:hint="eastAsia"/>
          <w:bCs/>
          <w:szCs w:val="32"/>
        </w:rPr>
        <w:t>中国西部国际博览城</w:t>
      </w:r>
      <w:r>
        <w:rPr>
          <w:rFonts w:cs="楷体_GB2312"/>
          <w:bCs/>
          <w:szCs w:val="32"/>
        </w:rPr>
        <w:t>、成都世纪城新国际会展中心</w:t>
      </w:r>
      <w:r>
        <w:rPr>
          <w:rFonts w:cs="楷体_GB2312" w:hint="eastAsia"/>
          <w:bCs/>
          <w:szCs w:val="32"/>
        </w:rPr>
        <w:t>、天府农博园</w:t>
      </w:r>
      <w:r>
        <w:rPr>
          <w:rFonts w:cs="楷体_GB2312"/>
          <w:bCs/>
          <w:szCs w:val="32"/>
        </w:rPr>
        <w:t>等</w:t>
      </w:r>
      <w:r>
        <w:rPr>
          <w:rFonts w:cs="楷体_GB2312" w:hint="eastAsia"/>
          <w:bCs/>
          <w:szCs w:val="32"/>
        </w:rPr>
        <w:t>专业</w:t>
      </w:r>
      <w:r>
        <w:rPr>
          <w:rFonts w:cs="楷体_GB2312"/>
          <w:bCs/>
          <w:szCs w:val="32"/>
        </w:rPr>
        <w:t>场馆，围绕</w:t>
      </w:r>
      <w:r>
        <w:rPr>
          <w:rFonts w:cs="楷体_GB2312" w:hint="eastAsia"/>
          <w:bCs/>
          <w:szCs w:val="32"/>
        </w:rPr>
        <w:t>商务商贸、交流</w:t>
      </w:r>
      <w:r>
        <w:rPr>
          <w:rFonts w:cs="楷体_GB2312"/>
          <w:bCs/>
          <w:szCs w:val="32"/>
        </w:rPr>
        <w:t>互动</w:t>
      </w:r>
      <w:r>
        <w:rPr>
          <w:rFonts w:cs="楷体_GB2312" w:hint="eastAsia"/>
          <w:bCs/>
          <w:szCs w:val="32"/>
        </w:rPr>
        <w:t>、</w:t>
      </w:r>
      <w:r>
        <w:rPr>
          <w:rFonts w:cs="楷体_GB2312"/>
          <w:bCs/>
          <w:szCs w:val="32"/>
        </w:rPr>
        <w:t>休闲娱乐</w:t>
      </w:r>
      <w:r>
        <w:rPr>
          <w:rFonts w:cs="楷体_GB2312" w:hint="eastAsia"/>
          <w:bCs/>
          <w:szCs w:val="32"/>
        </w:rPr>
        <w:t>等</w:t>
      </w:r>
      <w:r>
        <w:rPr>
          <w:rFonts w:cs="楷体_GB2312"/>
          <w:bCs/>
          <w:szCs w:val="32"/>
        </w:rPr>
        <w:t>需求，</w:t>
      </w:r>
      <w:r>
        <w:rPr>
          <w:rFonts w:cs="楷体_GB2312" w:hint="eastAsia"/>
          <w:bCs/>
          <w:szCs w:val="32"/>
        </w:rPr>
        <w:t>打造</w:t>
      </w:r>
      <w:r>
        <w:rPr>
          <w:rFonts w:cs="楷体_GB2312"/>
          <w:bCs/>
          <w:szCs w:val="32"/>
        </w:rPr>
        <w:t>商务餐厅、</w:t>
      </w:r>
      <w:r>
        <w:rPr>
          <w:rFonts w:cs="楷体_GB2312" w:hint="eastAsia"/>
          <w:bCs/>
          <w:szCs w:val="32"/>
        </w:rPr>
        <w:t>品位</w:t>
      </w:r>
      <w:r>
        <w:rPr>
          <w:rFonts w:cs="楷体_GB2312"/>
          <w:bCs/>
          <w:szCs w:val="32"/>
        </w:rPr>
        <w:t>咖啡、</w:t>
      </w:r>
      <w:r>
        <w:rPr>
          <w:rFonts w:cs="楷体_GB2312" w:hint="eastAsia"/>
          <w:bCs/>
          <w:szCs w:val="32"/>
        </w:rPr>
        <w:t>精品</w:t>
      </w:r>
      <w:r>
        <w:rPr>
          <w:rFonts w:cs="楷体_GB2312"/>
          <w:bCs/>
          <w:szCs w:val="32"/>
        </w:rPr>
        <w:t>集市等</w:t>
      </w:r>
      <w:r>
        <w:rPr>
          <w:rFonts w:cs="楷体_GB2312" w:hint="eastAsia"/>
          <w:bCs/>
          <w:szCs w:val="32"/>
        </w:rPr>
        <w:t>特色空间。营造时尚科技新场景，</w:t>
      </w:r>
      <w:r>
        <w:rPr>
          <w:rFonts w:cs="楷体_GB2312"/>
          <w:bCs/>
          <w:szCs w:val="32"/>
        </w:rPr>
        <w:t>围绕时尚品鉴、智慧体验、文化创意等需求，布局无接触式移动便利店、特色快闪店、智能座椅等</w:t>
      </w:r>
      <w:r>
        <w:rPr>
          <w:rFonts w:cs="楷体_GB2312" w:hint="eastAsia"/>
          <w:bCs/>
          <w:szCs w:val="32"/>
        </w:rPr>
        <w:t>智慧设施，开展“室内</w:t>
      </w:r>
      <w:r>
        <w:rPr>
          <w:rFonts w:cs="楷体_GB2312"/>
          <w:bCs/>
          <w:szCs w:val="32"/>
        </w:rPr>
        <w:t>+</w:t>
      </w:r>
      <w:r>
        <w:rPr>
          <w:rFonts w:cs="楷体_GB2312"/>
          <w:bCs/>
          <w:szCs w:val="32"/>
        </w:rPr>
        <w:t>室外</w:t>
      </w:r>
      <w:r>
        <w:rPr>
          <w:rFonts w:cs="楷体_GB2312"/>
          <w:bCs/>
          <w:szCs w:val="32"/>
        </w:rPr>
        <w:t>”</w:t>
      </w:r>
      <w:r>
        <w:rPr>
          <w:rFonts w:cs="楷体_GB2312"/>
          <w:bCs/>
          <w:szCs w:val="32"/>
        </w:rPr>
        <w:t>的体验式、沉浸式会展活动。</w:t>
      </w:r>
      <w:r>
        <w:rPr>
          <w:rFonts w:cs="楷体_GB2312" w:hint="eastAsia"/>
          <w:bCs/>
          <w:szCs w:val="32"/>
        </w:rPr>
        <w:t>营造会</w:t>
      </w:r>
      <w:proofErr w:type="gramStart"/>
      <w:r>
        <w:rPr>
          <w:rFonts w:cs="楷体_GB2312" w:hint="eastAsia"/>
          <w:bCs/>
          <w:szCs w:val="32"/>
        </w:rPr>
        <w:t>奖旅游</w:t>
      </w:r>
      <w:proofErr w:type="gramEnd"/>
      <w:r>
        <w:rPr>
          <w:rFonts w:cs="楷体_GB2312" w:hint="eastAsia"/>
          <w:bCs/>
          <w:szCs w:val="32"/>
        </w:rPr>
        <w:t>消费场景，加强与旅游景区（点）、城市公园、绿道的合作</w:t>
      </w:r>
      <w:r>
        <w:rPr>
          <w:rFonts w:cs="楷体_GB2312"/>
          <w:bCs/>
          <w:szCs w:val="32"/>
        </w:rPr>
        <w:t>，</w:t>
      </w:r>
      <w:r>
        <w:rPr>
          <w:rFonts w:cs="楷体_GB2312" w:hint="eastAsia"/>
          <w:bCs/>
          <w:szCs w:val="32"/>
        </w:rPr>
        <w:t>打造沉浸购物、时尚秀展、林盘商务、原</w:t>
      </w:r>
      <w:proofErr w:type="gramStart"/>
      <w:r>
        <w:rPr>
          <w:rFonts w:cs="楷体_GB2312" w:hint="eastAsia"/>
          <w:bCs/>
          <w:szCs w:val="32"/>
        </w:rPr>
        <w:t>乡民宿等业</w:t>
      </w:r>
      <w:proofErr w:type="gramEnd"/>
      <w:r>
        <w:rPr>
          <w:rFonts w:cs="楷体_GB2312" w:hint="eastAsia"/>
          <w:bCs/>
          <w:szCs w:val="32"/>
        </w:rPr>
        <w:t>态</w:t>
      </w:r>
      <w:r>
        <w:rPr>
          <w:rFonts w:cs="楷体_GB2312"/>
          <w:bCs/>
          <w:szCs w:val="32"/>
        </w:rPr>
        <w:t>。</w:t>
      </w:r>
    </w:p>
    <w:p w14:paraId="1F49CDFA" w14:textId="77777777" w:rsidR="001F2B4F" w:rsidRDefault="001F2B4F"/>
    <w:p w14:paraId="6D6F9FB2" w14:textId="77777777" w:rsidR="001F2B4F" w:rsidRDefault="00000000">
      <w:pPr>
        <w:overflowPunct w:val="0"/>
        <w:autoSpaceDE w:val="0"/>
        <w:autoSpaceDN w:val="0"/>
        <w:adjustRightInd w:val="0"/>
        <w:snapToGrid w:val="0"/>
        <w:spacing w:line="579" w:lineRule="exact"/>
        <w:jc w:val="center"/>
        <w:outlineLvl w:val="0"/>
        <w:rPr>
          <w:rFonts w:ascii="方正小标宋_GBK" w:eastAsia="方正小标宋_GBK" w:hAnsi="方正小标宋_GBK" w:cs="方正黑体_GBK"/>
          <w:bCs/>
          <w:szCs w:val="32"/>
        </w:rPr>
      </w:pPr>
      <w:bookmarkStart w:id="122" w:name="_Toc78795976"/>
      <w:bookmarkStart w:id="123" w:name="_Toc93092580"/>
      <w:bookmarkStart w:id="124" w:name="_Toc65700553"/>
      <w:bookmarkStart w:id="125" w:name="_Toc78796004"/>
      <w:bookmarkStart w:id="126" w:name="_Toc96622384"/>
      <w:bookmarkEnd w:id="100"/>
      <w:bookmarkEnd w:id="101"/>
      <w:bookmarkEnd w:id="102"/>
      <w:bookmarkEnd w:id="103"/>
      <w:r>
        <w:rPr>
          <w:rFonts w:ascii="方正小标宋_GBK" w:eastAsia="方正小标宋_GBK" w:hAnsi="方正小标宋_GBK" w:cs="方正黑体_GBK"/>
          <w:bCs/>
          <w:szCs w:val="32"/>
        </w:rPr>
        <w:t>第</w:t>
      </w:r>
      <w:r>
        <w:rPr>
          <w:rFonts w:ascii="方正小标宋_GBK" w:eastAsia="方正小标宋_GBK" w:hAnsi="方正小标宋_GBK" w:cs="方正黑体_GBK" w:hint="eastAsia"/>
          <w:bCs/>
          <w:szCs w:val="32"/>
        </w:rPr>
        <w:t>四</w:t>
      </w:r>
      <w:r>
        <w:rPr>
          <w:rFonts w:ascii="方正小标宋_GBK" w:eastAsia="方正小标宋_GBK" w:hAnsi="方正小标宋_GBK" w:cs="方正黑体_GBK"/>
          <w:bCs/>
          <w:szCs w:val="32"/>
        </w:rPr>
        <w:t xml:space="preserve">章 </w:t>
      </w:r>
      <w:bookmarkEnd w:id="122"/>
      <w:bookmarkEnd w:id="123"/>
      <w:bookmarkEnd w:id="124"/>
      <w:bookmarkEnd w:id="125"/>
      <w:r>
        <w:rPr>
          <w:rFonts w:ascii="方正小标宋_GBK" w:eastAsia="方正小标宋_GBK" w:hAnsi="方正小标宋_GBK" w:cs="方正黑体_GBK"/>
          <w:bCs/>
          <w:szCs w:val="32"/>
        </w:rPr>
        <w:t xml:space="preserve"> </w:t>
      </w:r>
      <w:r>
        <w:rPr>
          <w:rFonts w:ascii="方正小标宋_GBK" w:eastAsia="方正小标宋_GBK" w:hAnsi="方正小标宋_GBK" w:cs="方正黑体_GBK" w:hint="eastAsia"/>
          <w:bCs/>
          <w:szCs w:val="32"/>
        </w:rPr>
        <w:t>实施保障</w:t>
      </w:r>
      <w:bookmarkEnd w:id="126"/>
    </w:p>
    <w:p w14:paraId="6E4E727D" w14:textId="77777777" w:rsidR="001F2B4F" w:rsidRDefault="001F2B4F">
      <w:pPr>
        <w:pStyle w:val="a0"/>
        <w:overflowPunct w:val="0"/>
        <w:snapToGrid w:val="0"/>
        <w:spacing w:after="0" w:line="579" w:lineRule="exact"/>
        <w:ind w:firstLine="632"/>
      </w:pPr>
    </w:p>
    <w:p w14:paraId="528B04F1"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127" w:name="_Toc65700554"/>
      <w:bookmarkStart w:id="128" w:name="_Toc96622385"/>
      <w:bookmarkStart w:id="129" w:name="_Toc78796005"/>
      <w:bookmarkStart w:id="130" w:name="_Toc78795977"/>
      <w:bookmarkStart w:id="131" w:name="_Toc93092581"/>
      <w:r>
        <w:rPr>
          <w:rFonts w:ascii="方正黑体_GBK" w:eastAsia="方正黑体_GBK" w:cs="宋体" w:hint="eastAsia"/>
          <w:bCs/>
          <w:kern w:val="0"/>
          <w:szCs w:val="32"/>
          <w:lang w:val="zh-CN" w:bidi="zh-CN"/>
        </w:rPr>
        <w:lastRenderedPageBreak/>
        <w:t>第</w:t>
      </w:r>
      <w:r>
        <w:rPr>
          <w:rFonts w:ascii="方正黑体_GBK" w:eastAsia="方正黑体_GBK" w:cs="宋体"/>
          <w:bCs/>
          <w:kern w:val="0"/>
          <w:szCs w:val="32"/>
          <w:lang w:val="zh-CN" w:bidi="zh-CN"/>
        </w:rPr>
        <w:t>一</w:t>
      </w:r>
      <w:r>
        <w:rPr>
          <w:rFonts w:ascii="方正黑体_GBK" w:eastAsia="方正黑体_GBK" w:cs="宋体" w:hint="eastAsia"/>
          <w:bCs/>
          <w:kern w:val="0"/>
          <w:szCs w:val="32"/>
          <w:lang w:val="zh-CN" w:bidi="zh-CN"/>
        </w:rPr>
        <w:t xml:space="preserve">节  </w:t>
      </w:r>
      <w:bookmarkStart w:id="132" w:name="_Hlk96359601"/>
      <w:r>
        <w:rPr>
          <w:rFonts w:ascii="方正黑体_GBK" w:eastAsia="方正黑体_GBK" w:cs="宋体" w:hint="eastAsia"/>
          <w:bCs/>
          <w:kern w:val="0"/>
          <w:szCs w:val="32"/>
          <w:lang w:val="zh-CN" w:bidi="zh-CN"/>
        </w:rPr>
        <w:t>健全</w:t>
      </w:r>
      <w:r>
        <w:rPr>
          <w:rFonts w:ascii="方正黑体_GBK" w:eastAsia="方正黑体_GBK" w:cs="宋体"/>
          <w:bCs/>
          <w:kern w:val="0"/>
          <w:szCs w:val="32"/>
          <w:lang w:val="zh-CN" w:bidi="zh-CN"/>
        </w:rPr>
        <w:t>体制机制</w:t>
      </w:r>
      <w:bookmarkEnd w:id="127"/>
      <w:bookmarkEnd w:id="128"/>
      <w:bookmarkEnd w:id="129"/>
      <w:bookmarkEnd w:id="130"/>
      <w:bookmarkEnd w:id="131"/>
      <w:bookmarkEnd w:id="132"/>
    </w:p>
    <w:p w14:paraId="3A49822B" w14:textId="77777777" w:rsidR="001F2B4F" w:rsidRDefault="00000000">
      <w:pPr>
        <w:overflowPunct w:val="0"/>
        <w:adjustRightInd w:val="0"/>
        <w:snapToGrid w:val="0"/>
        <w:spacing w:line="579" w:lineRule="exact"/>
        <w:ind w:firstLineChars="200" w:firstLine="632"/>
        <w:rPr>
          <w:rFonts w:cs="Times New Roman"/>
          <w:bCs/>
          <w:szCs w:val="32"/>
        </w:rPr>
      </w:pPr>
      <w:bookmarkStart w:id="133" w:name="_Toc65700555"/>
      <w:r>
        <w:rPr>
          <w:rFonts w:eastAsia="方正楷体_GBK" w:cs="方正楷体_GBK" w:hint="eastAsia"/>
          <w:szCs w:val="32"/>
          <w:lang w:val="zh-TW"/>
        </w:rPr>
        <w:t>加强组织保障。</w:t>
      </w:r>
      <w:r>
        <w:rPr>
          <w:rFonts w:cs="楷体_GB2312" w:hint="eastAsia"/>
          <w:bCs/>
          <w:szCs w:val="32"/>
        </w:rPr>
        <w:t>优化成都市会展</w:t>
      </w:r>
      <w:proofErr w:type="gramStart"/>
      <w:r>
        <w:rPr>
          <w:rFonts w:cs="楷体_GB2312" w:hint="eastAsia"/>
          <w:bCs/>
          <w:szCs w:val="32"/>
        </w:rPr>
        <w:t>产业建圈强链工作</w:t>
      </w:r>
      <w:proofErr w:type="gramEnd"/>
      <w:r>
        <w:rPr>
          <w:rFonts w:cs="楷体_GB2312" w:hint="eastAsia"/>
          <w:bCs/>
          <w:szCs w:val="32"/>
        </w:rPr>
        <w:t>推进小组职责，统筹推进会展产业链建设。抓好重点企业培育、重大展会招引、重大项目促建、创新体系构建、功能区建设等工作，研究制定促进会</w:t>
      </w:r>
      <w:proofErr w:type="gramStart"/>
      <w:r>
        <w:rPr>
          <w:rFonts w:cs="楷体_GB2312" w:hint="eastAsia"/>
          <w:bCs/>
          <w:szCs w:val="32"/>
        </w:rPr>
        <w:t>展产业</w:t>
      </w:r>
      <w:proofErr w:type="gramEnd"/>
      <w:r>
        <w:rPr>
          <w:rFonts w:cs="楷体_GB2312" w:hint="eastAsia"/>
          <w:bCs/>
          <w:szCs w:val="32"/>
        </w:rPr>
        <w:t>链高质量发展相关政策措施，协调各成员单位依据各自职能职责开展相关工作，审议会展产业链建设中的重大事项，协调解决会展产业</w:t>
      </w:r>
      <w:proofErr w:type="gramStart"/>
      <w:r>
        <w:rPr>
          <w:rFonts w:cs="楷体_GB2312" w:hint="eastAsia"/>
          <w:bCs/>
          <w:szCs w:val="32"/>
        </w:rPr>
        <w:t>链发展</w:t>
      </w:r>
      <w:proofErr w:type="gramEnd"/>
      <w:r>
        <w:rPr>
          <w:rFonts w:cs="楷体_GB2312" w:hint="eastAsia"/>
          <w:bCs/>
          <w:szCs w:val="32"/>
        </w:rPr>
        <w:t>中有关重大问题。成立成都市会展业发展工作领导小组，发挥协调机制作用，加强资源要素统筹、重大项目调度和产业政策整合。</w:t>
      </w:r>
    </w:p>
    <w:p w14:paraId="311385B0"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健全</w:t>
      </w:r>
      <w:r>
        <w:rPr>
          <w:rFonts w:eastAsia="方正楷体_GBK" w:cs="方正楷体_GBK"/>
          <w:szCs w:val="32"/>
          <w:lang w:val="zh-TW"/>
        </w:rPr>
        <w:t>统计机制</w:t>
      </w:r>
      <w:bookmarkEnd w:id="133"/>
      <w:r>
        <w:rPr>
          <w:rFonts w:eastAsia="方正楷体_GBK" w:cs="方正楷体_GBK" w:hint="eastAsia"/>
          <w:szCs w:val="32"/>
          <w:lang w:val="zh-TW"/>
        </w:rPr>
        <w:t>。</w:t>
      </w:r>
      <w:r>
        <w:rPr>
          <w:rFonts w:cs="楷体_GB2312"/>
          <w:bCs/>
          <w:szCs w:val="32"/>
        </w:rPr>
        <w:t>建立覆盖全市会展业的统计</w:t>
      </w:r>
      <w:r>
        <w:rPr>
          <w:rFonts w:cs="楷体_GB2312" w:hint="eastAsia"/>
          <w:bCs/>
          <w:szCs w:val="32"/>
        </w:rPr>
        <w:t>监测</w:t>
      </w:r>
      <w:r>
        <w:rPr>
          <w:rFonts w:cs="楷体_GB2312"/>
          <w:bCs/>
          <w:szCs w:val="32"/>
        </w:rPr>
        <w:t>体系，规范统计范围、口径、标准，</w:t>
      </w:r>
      <w:r>
        <w:rPr>
          <w:rFonts w:cs="楷体_GB2312" w:hint="eastAsia"/>
          <w:bCs/>
          <w:szCs w:val="32"/>
        </w:rPr>
        <w:t>定期</w:t>
      </w:r>
      <w:r>
        <w:rPr>
          <w:rFonts w:cs="楷体_GB2312"/>
          <w:bCs/>
          <w:szCs w:val="32"/>
        </w:rPr>
        <w:t>发布</w:t>
      </w:r>
      <w:r>
        <w:rPr>
          <w:rFonts w:cs="楷体_GB2312" w:hint="eastAsia"/>
          <w:bCs/>
          <w:szCs w:val="32"/>
        </w:rPr>
        <w:t>数据</w:t>
      </w:r>
      <w:r>
        <w:rPr>
          <w:rFonts w:cs="楷体_GB2312"/>
          <w:bCs/>
          <w:szCs w:val="32"/>
        </w:rPr>
        <w:t>信息</w:t>
      </w:r>
      <w:r>
        <w:rPr>
          <w:rFonts w:cs="楷体_GB2312" w:hint="eastAsia"/>
          <w:bCs/>
          <w:szCs w:val="32"/>
        </w:rPr>
        <w:t>。协调推动各职能部门、各区（市）县、企业等会展数据互联互通，有序推进展会综合保障、展会档期管理等工作，为政府部门整合各方资源、制定产业政策、优化产业环境提供数据保障。</w:t>
      </w:r>
    </w:p>
    <w:p w14:paraId="54FC7126" w14:textId="77777777" w:rsidR="001F2B4F" w:rsidRDefault="00000000">
      <w:pPr>
        <w:overflowPunct w:val="0"/>
        <w:adjustRightInd w:val="0"/>
        <w:snapToGrid w:val="0"/>
        <w:spacing w:line="579" w:lineRule="exact"/>
        <w:ind w:firstLineChars="200" w:firstLine="632"/>
        <w:rPr>
          <w:rFonts w:cs="Times New Roman"/>
          <w:bCs/>
          <w:szCs w:val="32"/>
        </w:rPr>
      </w:pPr>
      <w:r>
        <w:rPr>
          <w:rFonts w:eastAsia="方正楷体_GBK" w:cs="方正楷体_GBK" w:hint="eastAsia"/>
          <w:szCs w:val="32"/>
          <w:lang w:val="zh-TW"/>
        </w:rPr>
        <w:t>建立</w:t>
      </w:r>
      <w:r>
        <w:rPr>
          <w:rFonts w:eastAsia="方正楷体_GBK" w:cs="方正楷体_GBK"/>
          <w:szCs w:val="32"/>
          <w:lang w:val="zh-TW"/>
        </w:rPr>
        <w:t>评估体系</w:t>
      </w:r>
      <w:r>
        <w:rPr>
          <w:rFonts w:eastAsia="方正楷体_GBK" w:cs="方正楷体_GBK" w:hint="eastAsia"/>
          <w:szCs w:val="32"/>
          <w:lang w:val="zh-TW"/>
        </w:rPr>
        <w:t>。</w:t>
      </w:r>
      <w:r>
        <w:rPr>
          <w:rFonts w:cs="楷体_GB2312" w:hint="eastAsia"/>
          <w:bCs/>
          <w:szCs w:val="32"/>
        </w:rPr>
        <w:t>规范、细化评估范围、评估标准和评估指标，注重对会展创新引领作用和溢出带动效应的综合性评估，对全市举办的各类展会项目定期开展考核和综合评估工作，为精准施行产业政策、评估政策效能、规范行业竞争提供客观依据。</w:t>
      </w:r>
    </w:p>
    <w:p w14:paraId="738DB231"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134" w:name="_Toc78795978"/>
      <w:bookmarkStart w:id="135" w:name="_Toc65700558"/>
      <w:bookmarkStart w:id="136" w:name="_Toc78796006"/>
      <w:bookmarkStart w:id="137" w:name="_Toc93092582"/>
      <w:bookmarkStart w:id="138" w:name="_Toc96622386"/>
      <w:r>
        <w:rPr>
          <w:rFonts w:ascii="方正黑体_GBK" w:eastAsia="方正黑体_GBK" w:cs="宋体" w:hint="eastAsia"/>
          <w:bCs/>
          <w:kern w:val="0"/>
          <w:szCs w:val="32"/>
          <w:lang w:val="zh-CN" w:bidi="zh-CN"/>
        </w:rPr>
        <w:t>第</w:t>
      </w:r>
      <w:r>
        <w:rPr>
          <w:rFonts w:ascii="方正黑体_GBK" w:eastAsia="方正黑体_GBK" w:cs="宋体"/>
          <w:bCs/>
          <w:kern w:val="0"/>
          <w:szCs w:val="32"/>
          <w:lang w:val="zh-CN" w:bidi="zh-CN"/>
        </w:rPr>
        <w:t>二</w:t>
      </w:r>
      <w:r>
        <w:rPr>
          <w:rFonts w:ascii="方正黑体_GBK" w:eastAsia="方正黑体_GBK" w:cs="宋体" w:hint="eastAsia"/>
          <w:bCs/>
          <w:kern w:val="0"/>
          <w:szCs w:val="32"/>
          <w:lang w:val="zh-CN" w:bidi="zh-CN"/>
        </w:rPr>
        <w:t>节  完善</w:t>
      </w:r>
      <w:r>
        <w:rPr>
          <w:rFonts w:ascii="方正黑体_GBK" w:eastAsia="方正黑体_GBK" w:cs="宋体"/>
          <w:bCs/>
          <w:kern w:val="0"/>
          <w:szCs w:val="32"/>
          <w:lang w:val="zh-CN" w:bidi="zh-CN"/>
        </w:rPr>
        <w:t>政策</w:t>
      </w:r>
      <w:bookmarkEnd w:id="134"/>
      <w:bookmarkEnd w:id="135"/>
      <w:bookmarkEnd w:id="136"/>
      <w:r>
        <w:rPr>
          <w:rFonts w:ascii="方正黑体_GBK" w:eastAsia="方正黑体_GBK" w:cs="宋体" w:hint="eastAsia"/>
          <w:bCs/>
          <w:kern w:val="0"/>
          <w:szCs w:val="32"/>
          <w:lang w:val="zh-CN" w:bidi="zh-CN"/>
        </w:rPr>
        <w:t>体系</w:t>
      </w:r>
      <w:bookmarkEnd w:id="137"/>
      <w:bookmarkEnd w:id="138"/>
    </w:p>
    <w:p w14:paraId="1DF9F784"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加大政策支持</w:t>
      </w:r>
      <w:bookmarkStart w:id="139" w:name="_Toc65700561"/>
      <w:r>
        <w:rPr>
          <w:rFonts w:eastAsia="方正楷体_GBK" w:cs="方正楷体_GBK" w:hint="eastAsia"/>
          <w:szCs w:val="32"/>
          <w:lang w:val="zh-TW"/>
        </w:rPr>
        <w:t>力度。</w:t>
      </w:r>
      <w:r>
        <w:rPr>
          <w:rFonts w:cs="楷体_GB2312" w:hint="eastAsia"/>
          <w:bCs/>
          <w:szCs w:val="32"/>
        </w:rPr>
        <w:t>量身定制政策服务综合包，提高政策匹配度和有效性，促进市级有关部门、各区（市）县（管委会）等研究制定专项政策措施，</w:t>
      </w:r>
      <w:proofErr w:type="gramStart"/>
      <w:r>
        <w:rPr>
          <w:rFonts w:cs="楷体_GB2312" w:hint="eastAsia"/>
          <w:bCs/>
          <w:szCs w:val="32"/>
        </w:rPr>
        <w:t>围绕链主企业</w:t>
      </w:r>
      <w:proofErr w:type="gramEnd"/>
      <w:r>
        <w:rPr>
          <w:rFonts w:cs="楷体_GB2312" w:hint="eastAsia"/>
          <w:bCs/>
          <w:szCs w:val="32"/>
        </w:rPr>
        <w:t>实际需求，加强“</w:t>
      </w:r>
      <w:proofErr w:type="gramStart"/>
      <w:r>
        <w:rPr>
          <w:rFonts w:cs="楷体_GB2312" w:hint="eastAsia"/>
          <w:bCs/>
          <w:szCs w:val="32"/>
        </w:rPr>
        <w:t>一</w:t>
      </w:r>
      <w:proofErr w:type="gramEnd"/>
      <w:r>
        <w:rPr>
          <w:rFonts w:cs="楷体_GB2312" w:hint="eastAsia"/>
          <w:bCs/>
          <w:szCs w:val="32"/>
        </w:rPr>
        <w:t>企</w:t>
      </w:r>
      <w:proofErr w:type="gramStart"/>
      <w:r>
        <w:rPr>
          <w:rFonts w:cs="楷体_GB2312" w:hint="eastAsia"/>
          <w:bCs/>
          <w:szCs w:val="32"/>
        </w:rPr>
        <w:t>一</w:t>
      </w:r>
      <w:proofErr w:type="gramEnd"/>
      <w:r>
        <w:rPr>
          <w:rFonts w:cs="楷体_GB2312" w:hint="eastAsia"/>
          <w:bCs/>
          <w:szCs w:val="32"/>
        </w:rPr>
        <w:lastRenderedPageBreak/>
        <w:t>策”专项服务，针对性帮助专精特新企业、关键配套企业</w:t>
      </w:r>
      <w:proofErr w:type="gramStart"/>
      <w:r>
        <w:rPr>
          <w:rFonts w:cs="楷体_GB2312" w:hint="eastAsia"/>
          <w:bCs/>
          <w:szCs w:val="32"/>
        </w:rPr>
        <w:t>创新提能发展</w:t>
      </w:r>
      <w:proofErr w:type="gramEnd"/>
      <w:r>
        <w:rPr>
          <w:rFonts w:cs="楷体_GB2312" w:hint="eastAsia"/>
          <w:bCs/>
          <w:szCs w:val="32"/>
        </w:rPr>
        <w:t>。</w:t>
      </w:r>
      <w:r>
        <w:rPr>
          <w:rFonts w:cs="仿宋" w:hint="eastAsia"/>
          <w:bCs/>
          <w:szCs w:val="32"/>
        </w:rPr>
        <w:t>推动设立会展产业引导股权投资基金，吸纳社会资本跟投，引进专业基金管理团队管理，以市场化方式开展股权投资。鼓励金融机构拓宽信贷渠道、优化服务方式，加大对中小微会展企业支持力度。</w:t>
      </w:r>
    </w:p>
    <w:p w14:paraId="19994438" w14:textId="77777777" w:rsidR="001F2B4F" w:rsidRDefault="00000000">
      <w:pPr>
        <w:overflowPunct w:val="0"/>
        <w:adjustRightInd w:val="0"/>
        <w:snapToGrid w:val="0"/>
        <w:spacing w:line="579" w:lineRule="exact"/>
        <w:ind w:firstLineChars="200" w:firstLine="632"/>
        <w:rPr>
          <w:rFonts w:cs="楷体_GB2312"/>
          <w:szCs w:val="32"/>
        </w:rPr>
      </w:pPr>
      <w:r>
        <w:rPr>
          <w:rFonts w:eastAsia="方正楷体_GBK" w:cs="方正楷体_GBK" w:hint="eastAsia"/>
          <w:szCs w:val="32"/>
          <w:lang w:val="zh-TW"/>
        </w:rPr>
        <w:t>强化</w:t>
      </w:r>
      <w:r>
        <w:rPr>
          <w:rFonts w:eastAsia="方正楷体_GBK" w:cs="方正楷体_GBK"/>
          <w:szCs w:val="32"/>
          <w:lang w:val="zh-TW"/>
        </w:rPr>
        <w:t>人才</w:t>
      </w:r>
      <w:bookmarkEnd w:id="139"/>
      <w:r>
        <w:rPr>
          <w:rFonts w:eastAsia="方正楷体_GBK" w:cs="方正楷体_GBK" w:hint="eastAsia"/>
          <w:szCs w:val="32"/>
          <w:lang w:val="zh-TW"/>
        </w:rPr>
        <w:t>政策配套。</w:t>
      </w:r>
      <w:r>
        <w:rPr>
          <w:rFonts w:cs="楷体_GB2312" w:hint="eastAsia"/>
          <w:bCs/>
          <w:szCs w:val="32"/>
        </w:rPr>
        <w:t>坚持“高精尖缺”并重的会展人才策略，通过“政策待遇</w:t>
      </w:r>
      <w:r>
        <w:rPr>
          <w:rFonts w:cs="楷体_GB2312" w:hint="eastAsia"/>
          <w:bCs/>
          <w:szCs w:val="32"/>
        </w:rPr>
        <w:t>+</w:t>
      </w:r>
      <w:r>
        <w:rPr>
          <w:rFonts w:cs="楷体_GB2312" w:hint="eastAsia"/>
          <w:bCs/>
          <w:szCs w:val="32"/>
        </w:rPr>
        <w:t>行业待遇”等支持方式，深入实施“蓉漂计划”“产业建圈强链人才计划”“雏鹰计划”。开展会展头部企业评选，遴选头部企业和会展经济产业链高端人才，在户籍管理、住房保障、职称评定等方面提供相应配套政策体系。依托中国成都人力资源服务产业园，为会展产业企业提供人才寻访、人才测评、咨询服务等人力资源服务，为会展业创新创业人群提供创业辅导、项目诊断等服务。</w:t>
      </w:r>
    </w:p>
    <w:p w14:paraId="27DAD3D7"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140" w:name="_Toc78795979"/>
      <w:bookmarkStart w:id="141" w:name="_Toc96622387"/>
      <w:bookmarkStart w:id="142" w:name="_Toc78796007"/>
      <w:bookmarkStart w:id="143" w:name="_Toc65700562"/>
      <w:bookmarkStart w:id="144" w:name="_Toc93092583"/>
      <w:r>
        <w:rPr>
          <w:rFonts w:ascii="方正黑体_GBK" w:eastAsia="方正黑体_GBK" w:cs="宋体"/>
          <w:bCs/>
          <w:kern w:val="0"/>
          <w:szCs w:val="32"/>
          <w:lang w:val="zh-CN" w:bidi="zh-CN"/>
        </w:rPr>
        <w:t xml:space="preserve">第三节  </w:t>
      </w:r>
      <w:bookmarkStart w:id="145" w:name="_Hlk96359840"/>
      <w:r>
        <w:rPr>
          <w:rFonts w:ascii="方正黑体_GBK" w:eastAsia="方正黑体_GBK" w:cs="宋体" w:hint="eastAsia"/>
          <w:bCs/>
          <w:kern w:val="0"/>
          <w:szCs w:val="32"/>
          <w:lang w:val="zh-CN" w:bidi="zh-CN"/>
        </w:rPr>
        <w:t>提升</w:t>
      </w:r>
      <w:r>
        <w:rPr>
          <w:rFonts w:ascii="方正黑体_GBK" w:eastAsia="方正黑体_GBK" w:cs="宋体"/>
          <w:bCs/>
          <w:kern w:val="0"/>
          <w:szCs w:val="32"/>
          <w:lang w:val="zh-CN" w:bidi="zh-CN"/>
        </w:rPr>
        <w:t>营商环境</w:t>
      </w:r>
      <w:bookmarkEnd w:id="140"/>
      <w:bookmarkEnd w:id="141"/>
      <w:bookmarkEnd w:id="142"/>
      <w:bookmarkEnd w:id="143"/>
      <w:bookmarkEnd w:id="144"/>
      <w:bookmarkEnd w:id="145"/>
    </w:p>
    <w:p w14:paraId="10FD9B20"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加强会展法制建设。</w:t>
      </w:r>
      <w:r>
        <w:rPr>
          <w:rFonts w:cs="楷体_GB2312" w:hint="eastAsia"/>
          <w:bCs/>
          <w:szCs w:val="32"/>
        </w:rPr>
        <w:t>宣传和贯彻执行《成都市会展业促进条例》等相关法律法规，提高会展企业法律意识，促进会</w:t>
      </w:r>
      <w:proofErr w:type="gramStart"/>
      <w:r>
        <w:rPr>
          <w:rFonts w:cs="楷体_GB2312" w:hint="eastAsia"/>
          <w:bCs/>
          <w:szCs w:val="32"/>
        </w:rPr>
        <w:t>展企业</w:t>
      </w:r>
      <w:proofErr w:type="gramEnd"/>
      <w:r>
        <w:rPr>
          <w:rFonts w:cs="楷体_GB2312" w:hint="eastAsia"/>
          <w:bCs/>
          <w:szCs w:val="32"/>
        </w:rPr>
        <w:t>依法规范经营，全面提升成都会展市场治理水平，保障会展业健康发展。</w:t>
      </w:r>
    </w:p>
    <w:p w14:paraId="6C34E10E" w14:textId="77777777" w:rsidR="001F2B4F" w:rsidRDefault="00000000">
      <w:pPr>
        <w:overflowPunct w:val="0"/>
        <w:adjustRightInd w:val="0"/>
        <w:snapToGrid w:val="0"/>
        <w:spacing w:line="579" w:lineRule="exact"/>
        <w:ind w:firstLineChars="200" w:firstLine="632"/>
        <w:rPr>
          <w:rFonts w:cs="楷体_GB2312"/>
          <w:bCs/>
          <w:szCs w:val="32"/>
        </w:rPr>
      </w:pPr>
      <w:bookmarkStart w:id="146" w:name="_Toc78796008"/>
      <w:bookmarkStart w:id="147" w:name="_Toc65700565"/>
      <w:bookmarkStart w:id="148" w:name="_Toc78795980"/>
      <w:r>
        <w:rPr>
          <w:rFonts w:eastAsia="方正楷体_GBK" w:cs="方正楷体_GBK" w:hint="eastAsia"/>
          <w:szCs w:val="32"/>
          <w:lang w:val="zh-TW"/>
        </w:rPr>
        <w:t>发挥行业组织作用。</w:t>
      </w:r>
      <w:r>
        <w:rPr>
          <w:rFonts w:cs="楷体_GB2312" w:hint="eastAsia"/>
          <w:bCs/>
          <w:szCs w:val="32"/>
        </w:rPr>
        <w:t>参与城际会展业交流活动，鼓励成都会展联盟等行业组织与全国性会展业联盟、区域性会展业联盟的合作，开展会展业发展规律和趋势研究，为会展企业提供经济信息、市场预测、技术指导、法律咨询等服务。</w:t>
      </w:r>
    </w:p>
    <w:p w14:paraId="43AACC66" w14:textId="77777777" w:rsidR="001F2B4F" w:rsidRDefault="00000000">
      <w:pPr>
        <w:overflowPunct w:val="0"/>
        <w:adjustRightInd w:val="0"/>
        <w:snapToGrid w:val="0"/>
        <w:spacing w:line="579" w:lineRule="exact"/>
        <w:ind w:firstLineChars="200" w:firstLine="632"/>
        <w:rPr>
          <w:rFonts w:cs="Times New Roman"/>
          <w:bCs/>
          <w:szCs w:val="32"/>
        </w:rPr>
      </w:pPr>
      <w:bookmarkStart w:id="149" w:name="_Hlk96352078"/>
      <w:r>
        <w:rPr>
          <w:rFonts w:eastAsia="方正楷体_GBK" w:cs="方正楷体_GBK" w:hint="eastAsia"/>
          <w:szCs w:val="32"/>
          <w:lang w:val="zh-TW"/>
        </w:rPr>
        <w:lastRenderedPageBreak/>
        <w:t>加强</w:t>
      </w:r>
      <w:r>
        <w:rPr>
          <w:rFonts w:eastAsia="方正楷体_GBK" w:cs="方正楷体_GBK"/>
          <w:szCs w:val="32"/>
          <w:lang w:val="zh-TW"/>
        </w:rPr>
        <w:t>知识产权保护</w:t>
      </w:r>
      <w:bookmarkEnd w:id="149"/>
      <w:r>
        <w:rPr>
          <w:rFonts w:eastAsia="方正楷体_GBK" w:cs="方正楷体_GBK" w:hint="eastAsia"/>
          <w:szCs w:val="32"/>
          <w:lang w:val="zh-TW"/>
        </w:rPr>
        <w:t>。</w:t>
      </w:r>
      <w:r>
        <w:rPr>
          <w:rFonts w:cs="Times New Roman"/>
          <w:bCs/>
          <w:szCs w:val="32"/>
        </w:rPr>
        <w:t>支持和鼓励会展企业通过专利申请、商标注册等方式</w:t>
      </w:r>
      <w:r>
        <w:rPr>
          <w:rFonts w:cs="Times New Roman" w:hint="eastAsia"/>
          <w:bCs/>
          <w:szCs w:val="32"/>
        </w:rPr>
        <w:t>，</w:t>
      </w:r>
      <w:r>
        <w:rPr>
          <w:rFonts w:cs="Times New Roman"/>
          <w:bCs/>
          <w:szCs w:val="32"/>
        </w:rPr>
        <w:t>开发利用展会活动名称、标志、商誉等无形资产</w:t>
      </w:r>
      <w:r>
        <w:rPr>
          <w:rFonts w:cs="Times New Roman" w:hint="eastAsia"/>
          <w:bCs/>
          <w:szCs w:val="32"/>
        </w:rPr>
        <w:t>。依托成都知识产权管理机构，加强会展专利、商标等重点领域和环节的行政保护。</w:t>
      </w:r>
      <w:r>
        <w:rPr>
          <w:rFonts w:cs="楷体_GB2312" w:hint="eastAsia"/>
          <w:bCs/>
          <w:szCs w:val="32"/>
        </w:rPr>
        <w:t>明确展会现场侵权投诉的处置流程，配合执法部门加强对展会的监管，防止参展参会单位侵权、造假行为。完善重点参展产品追溯制度，推动落实参展企业质量承诺制度，切实履行主体责任。</w:t>
      </w:r>
    </w:p>
    <w:p w14:paraId="0A7037B4" w14:textId="77777777" w:rsidR="001F2B4F" w:rsidRDefault="00000000">
      <w:pPr>
        <w:overflowPunct w:val="0"/>
        <w:adjustRightInd w:val="0"/>
        <w:snapToGrid w:val="0"/>
        <w:spacing w:line="579" w:lineRule="exact"/>
        <w:ind w:firstLineChars="200" w:firstLine="632"/>
        <w:rPr>
          <w:rFonts w:cs="Times New Roman"/>
          <w:bCs/>
          <w:szCs w:val="32"/>
        </w:rPr>
      </w:pPr>
      <w:r>
        <w:rPr>
          <w:rFonts w:eastAsia="方正楷体_GBK" w:cs="方正楷体_GBK" w:hint="eastAsia"/>
          <w:szCs w:val="32"/>
          <w:lang w:val="zh-TW"/>
        </w:rPr>
        <w:t>构建会展信用体系。</w:t>
      </w:r>
      <w:r>
        <w:rPr>
          <w:rFonts w:cs="楷体_GB2312" w:hint="eastAsia"/>
          <w:bCs/>
          <w:szCs w:val="32"/>
        </w:rPr>
        <w:t>增强办展机构、参展企业等会展业相关主体的信用意识，推进行业信用信息应用，</w:t>
      </w:r>
      <w:r>
        <w:rPr>
          <w:rFonts w:cs="楷体_GB2312" w:hint="eastAsia"/>
          <w:bCs/>
          <w:szCs w:val="32"/>
          <w:shd w:val="clear" w:color="auto" w:fill="FFFFFF"/>
        </w:rPr>
        <w:t>引导</w:t>
      </w:r>
      <w:r>
        <w:rPr>
          <w:rFonts w:cs="楷体_GB2312" w:hint="eastAsia"/>
          <w:bCs/>
          <w:szCs w:val="32"/>
        </w:rPr>
        <w:t>展览馆运营方、办展机构、设计搭建和参展企业等诚信办展、规范服务</w:t>
      </w:r>
      <w:r>
        <w:rPr>
          <w:rFonts w:cs="楷体_GB2312" w:hint="eastAsia"/>
          <w:bCs/>
          <w:szCs w:val="32"/>
          <w:shd w:val="clear" w:color="auto" w:fill="FFFFFF"/>
        </w:rPr>
        <w:t>。建立</w:t>
      </w:r>
      <w:r>
        <w:rPr>
          <w:rFonts w:cs="Times New Roman" w:hint="eastAsia"/>
          <w:bCs/>
          <w:szCs w:val="32"/>
        </w:rPr>
        <w:t>健全信用档案和违法违规信息披露制度，实现诚信信息共享和公开。</w:t>
      </w:r>
    </w:p>
    <w:p w14:paraId="0E15B548" w14:textId="77777777" w:rsidR="001F2B4F" w:rsidRDefault="00000000">
      <w:pPr>
        <w:overflowPunct w:val="0"/>
        <w:autoSpaceDE w:val="0"/>
        <w:autoSpaceDN w:val="0"/>
        <w:adjustRightInd w:val="0"/>
        <w:snapToGrid w:val="0"/>
        <w:spacing w:line="579" w:lineRule="exact"/>
        <w:jc w:val="center"/>
        <w:outlineLvl w:val="1"/>
        <w:rPr>
          <w:rFonts w:ascii="方正黑体_GBK" w:eastAsia="方正黑体_GBK" w:cs="宋体"/>
          <w:bCs/>
          <w:kern w:val="0"/>
          <w:szCs w:val="32"/>
          <w:lang w:val="zh-CN" w:bidi="zh-CN"/>
        </w:rPr>
      </w:pPr>
      <w:bookmarkStart w:id="150" w:name="_Toc96622388"/>
      <w:bookmarkStart w:id="151" w:name="_Toc93092584"/>
      <w:r>
        <w:rPr>
          <w:rFonts w:ascii="方正黑体_GBK" w:eastAsia="方正黑体_GBK" w:cs="宋体" w:hint="eastAsia"/>
          <w:bCs/>
          <w:kern w:val="0"/>
          <w:szCs w:val="32"/>
          <w:lang w:val="zh-CN" w:bidi="zh-CN"/>
        </w:rPr>
        <w:t>第四节  加强</w:t>
      </w:r>
      <w:r>
        <w:rPr>
          <w:rFonts w:ascii="方正黑体_GBK" w:eastAsia="方正黑体_GBK" w:cs="宋体"/>
          <w:bCs/>
          <w:kern w:val="0"/>
          <w:szCs w:val="32"/>
          <w:lang w:val="zh-CN" w:bidi="zh-CN"/>
        </w:rPr>
        <w:t>安全防控</w:t>
      </w:r>
      <w:bookmarkEnd w:id="146"/>
      <w:bookmarkEnd w:id="147"/>
      <w:bookmarkEnd w:id="148"/>
      <w:bookmarkEnd w:id="150"/>
      <w:bookmarkEnd w:id="151"/>
    </w:p>
    <w:p w14:paraId="71D84A2B"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加强内部风险防控。</w:t>
      </w:r>
      <w:r>
        <w:rPr>
          <w:rFonts w:cs="楷体_GB2312" w:hint="eastAsia"/>
          <w:bCs/>
          <w:szCs w:val="32"/>
        </w:rPr>
        <w:t>完善会展安全体系，重点推进疫情防控、消防安全、安全防范、突发事件和应急处理等方面的管理规范，严格制定工作方案、应急预案等，采取相应人防、物防、技防措施，加强对布展、撤展、用火、用电、用气、机械、展品仓储、易燃易爆危险物品等的安全检查和管理工作。加强与公安、城市管理、卫生健康、应急管理、市场监管等部门联合检查，督导举办单位依法及时处理突发事件，维护会展活动正常秩序。</w:t>
      </w:r>
    </w:p>
    <w:p w14:paraId="11A24A9C" w14:textId="77777777" w:rsidR="001F2B4F" w:rsidRDefault="00000000">
      <w:pPr>
        <w:overflowPunct w:val="0"/>
        <w:adjustRightInd w:val="0"/>
        <w:snapToGrid w:val="0"/>
        <w:spacing w:line="579" w:lineRule="exact"/>
        <w:ind w:firstLineChars="200" w:firstLine="632"/>
        <w:rPr>
          <w:rFonts w:cs="楷体_GB2312"/>
          <w:bCs/>
          <w:szCs w:val="32"/>
        </w:rPr>
      </w:pPr>
      <w:r>
        <w:rPr>
          <w:rFonts w:eastAsia="方正楷体_GBK" w:cs="方正楷体_GBK" w:hint="eastAsia"/>
          <w:szCs w:val="32"/>
          <w:lang w:val="zh-TW"/>
        </w:rPr>
        <w:t>加强外部风险预警。</w:t>
      </w:r>
      <w:r>
        <w:rPr>
          <w:rFonts w:cs="楷体_GB2312" w:hint="eastAsia"/>
          <w:bCs/>
          <w:szCs w:val="32"/>
        </w:rPr>
        <w:t>建立会展业外部风险跟踪监测体系，聚焦展前、展中、展后全过程，强化会展风险识别、评估分级与预防，定期发布风险预警，制定风险应急措施，积极开展会展风险、</w:t>
      </w:r>
      <w:r>
        <w:rPr>
          <w:rFonts w:cs="楷体_GB2312" w:hint="eastAsia"/>
          <w:bCs/>
          <w:szCs w:val="32"/>
        </w:rPr>
        <w:lastRenderedPageBreak/>
        <w:t>疫情防控教育培训，严防风险演变、隐患升级导致公共安全事故发生。建立健全会展风险防控扶持体系，鼓励引进境内</w:t>
      </w:r>
      <w:proofErr w:type="gramStart"/>
      <w:r>
        <w:rPr>
          <w:rFonts w:cs="楷体_GB2312" w:hint="eastAsia"/>
          <w:bCs/>
          <w:szCs w:val="32"/>
        </w:rPr>
        <w:t>外相关</w:t>
      </w:r>
      <w:proofErr w:type="gramEnd"/>
      <w:r>
        <w:rPr>
          <w:rFonts w:cs="楷体_GB2312" w:hint="eastAsia"/>
          <w:bCs/>
          <w:szCs w:val="32"/>
        </w:rPr>
        <w:t>保险机构设立直接服务于会展项目的专项保险，降低风险期间会展企业负担与损失。</w:t>
      </w:r>
    </w:p>
    <w:p w14:paraId="1A15073C" w14:textId="77777777" w:rsidR="001F2B4F" w:rsidRDefault="001F2B4F">
      <w:pPr>
        <w:overflowPunct w:val="0"/>
        <w:spacing w:after="120" w:line="579" w:lineRule="exact"/>
        <w:ind w:firstLineChars="200" w:firstLine="632"/>
        <w:rPr>
          <w:rFonts w:cs="楷体_GB2312"/>
          <w:bCs/>
          <w:szCs w:val="32"/>
        </w:rPr>
      </w:pPr>
    </w:p>
    <w:p w14:paraId="33C343FE" w14:textId="77777777" w:rsidR="001F2B4F" w:rsidRDefault="001F2B4F">
      <w:pPr>
        <w:overflowPunct w:val="0"/>
        <w:spacing w:line="579" w:lineRule="exact"/>
        <w:rPr>
          <w:szCs w:val="32"/>
        </w:rPr>
        <w:sectPr w:rsidR="001F2B4F">
          <w:footerReference w:type="default" r:id="rId14"/>
          <w:pgSz w:w="11907" w:h="16840"/>
          <w:pgMar w:top="2098" w:right="1474" w:bottom="1928" w:left="1588" w:header="851" w:footer="1418" w:gutter="0"/>
          <w:pgNumType w:start="1"/>
          <w:cols w:space="720"/>
          <w:docGrid w:type="linesAndChars" w:linePitch="582" w:charSpace="-842"/>
        </w:sectPr>
      </w:pPr>
    </w:p>
    <w:p w14:paraId="65142DC7" w14:textId="77777777" w:rsidR="001F2B4F" w:rsidRDefault="00000000">
      <w:pPr>
        <w:overflowPunct w:val="0"/>
        <w:adjustRightInd w:val="0"/>
        <w:snapToGrid w:val="0"/>
        <w:spacing w:line="600" w:lineRule="exact"/>
        <w:jc w:val="left"/>
        <w:outlineLvl w:val="0"/>
        <w:rPr>
          <w:rFonts w:eastAsia="方正黑体_GBK" w:cs="宋体"/>
          <w:bCs/>
          <w:kern w:val="44"/>
          <w:szCs w:val="32"/>
        </w:rPr>
      </w:pPr>
      <w:bookmarkStart w:id="152" w:name="_Toc93092585"/>
      <w:bookmarkStart w:id="153" w:name="_Toc96622389"/>
      <w:r>
        <w:rPr>
          <w:rFonts w:eastAsia="方正黑体_GBK" w:cs="宋体" w:hint="eastAsia"/>
          <w:bCs/>
          <w:kern w:val="44"/>
          <w:szCs w:val="32"/>
        </w:rPr>
        <w:lastRenderedPageBreak/>
        <w:t>附件</w:t>
      </w:r>
      <w:bookmarkEnd w:id="152"/>
      <w:r>
        <w:rPr>
          <w:rFonts w:eastAsia="方正黑体_GBK" w:cs="宋体" w:hint="eastAsia"/>
          <w:bCs/>
          <w:kern w:val="44"/>
          <w:szCs w:val="32"/>
        </w:rPr>
        <w:t>1</w:t>
      </w:r>
      <w:bookmarkEnd w:id="153"/>
    </w:p>
    <w:p w14:paraId="522D2893" w14:textId="77777777" w:rsidR="001F2B4F" w:rsidRDefault="00000000">
      <w:pPr>
        <w:overflowPunct w:val="0"/>
        <w:spacing w:line="700" w:lineRule="exact"/>
        <w:jc w:val="center"/>
        <w:rPr>
          <w:rFonts w:eastAsia="方正小标宋_GBK" w:cs="楷体_GB2312"/>
          <w:sz w:val="44"/>
          <w:szCs w:val="32"/>
        </w:rPr>
      </w:pPr>
      <w:bookmarkStart w:id="154" w:name="_Toc96622390"/>
      <w:r>
        <w:rPr>
          <w:rFonts w:eastAsia="方正小标宋_GBK" w:cs="楷体_GB2312" w:hint="eastAsia"/>
          <w:sz w:val="44"/>
          <w:szCs w:val="32"/>
        </w:rPr>
        <w:t>名词解释</w:t>
      </w:r>
      <w:bookmarkEnd w:id="154"/>
    </w:p>
    <w:p w14:paraId="297A5DDB" w14:textId="77777777" w:rsidR="001F2B4F" w:rsidRDefault="001F2B4F">
      <w:pPr>
        <w:overflowPunct w:val="0"/>
        <w:adjustRightInd w:val="0"/>
        <w:snapToGrid w:val="0"/>
        <w:spacing w:line="579" w:lineRule="exact"/>
        <w:ind w:firstLineChars="200" w:firstLine="640"/>
        <w:rPr>
          <w:rFonts w:cs="Times New Roman"/>
          <w:bCs/>
          <w:szCs w:val="32"/>
        </w:rPr>
      </w:pPr>
    </w:p>
    <w:p w14:paraId="566F54DA"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1</w:t>
      </w:r>
      <w:r>
        <w:rPr>
          <w:rFonts w:cs="Times New Roman" w:hint="eastAsia"/>
          <w:bCs/>
          <w:szCs w:val="32"/>
        </w:rPr>
        <w:t>．</w:t>
      </w:r>
      <w:r>
        <w:rPr>
          <w:rFonts w:cs="Times New Roman"/>
          <w:bCs/>
          <w:szCs w:val="32"/>
        </w:rPr>
        <w:t>重大会展活动数量</w:t>
      </w:r>
    </w:p>
    <w:p w14:paraId="0817152D"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指重大展览活动、重大会议活动、重大节庆活动和重大赛事活动数量之</w:t>
      </w:r>
      <w:proofErr w:type="gramStart"/>
      <w:r>
        <w:rPr>
          <w:rFonts w:cs="Times New Roman"/>
          <w:bCs/>
          <w:szCs w:val="32"/>
        </w:rPr>
        <w:t>和</w:t>
      </w:r>
      <w:proofErr w:type="gramEnd"/>
      <w:r>
        <w:rPr>
          <w:rFonts w:cs="Times New Roman"/>
          <w:bCs/>
          <w:szCs w:val="32"/>
        </w:rPr>
        <w:t>。</w:t>
      </w:r>
    </w:p>
    <w:p w14:paraId="78941AFD"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重大展览活动指在专业会展场馆或非专业场馆举办且展出面积超过</w:t>
      </w:r>
      <w:r>
        <w:rPr>
          <w:rFonts w:cs="Times New Roman"/>
          <w:bCs/>
          <w:szCs w:val="32"/>
        </w:rPr>
        <w:t>2000</w:t>
      </w:r>
      <w:r>
        <w:rPr>
          <w:rFonts w:cs="Times New Roman"/>
          <w:bCs/>
          <w:szCs w:val="32"/>
        </w:rPr>
        <w:t>平方米的展览，以及在美术馆、艺术馆或图书馆举办</w:t>
      </w:r>
      <w:r>
        <w:rPr>
          <w:rFonts w:cs="Times New Roman" w:hint="eastAsia"/>
          <w:bCs/>
          <w:szCs w:val="32"/>
        </w:rPr>
        <w:t>的</w:t>
      </w:r>
      <w:r>
        <w:rPr>
          <w:rFonts w:cs="Times New Roman"/>
          <w:bCs/>
          <w:szCs w:val="32"/>
        </w:rPr>
        <w:t>面积超过</w:t>
      </w:r>
      <w:r>
        <w:rPr>
          <w:rFonts w:cs="Times New Roman"/>
          <w:bCs/>
          <w:szCs w:val="32"/>
        </w:rPr>
        <w:t>2000</w:t>
      </w:r>
      <w:r>
        <w:rPr>
          <w:rFonts w:cs="Times New Roman"/>
          <w:bCs/>
          <w:szCs w:val="32"/>
        </w:rPr>
        <w:t>平方米的大型且具有较强影响力的艺术类展览。</w:t>
      </w:r>
    </w:p>
    <w:p w14:paraId="64DC4C3A"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重大会议活动指参会人数超过</w:t>
      </w:r>
      <w:r>
        <w:rPr>
          <w:rFonts w:cs="Times New Roman"/>
          <w:bCs/>
          <w:szCs w:val="32"/>
        </w:rPr>
        <w:t>200</w:t>
      </w:r>
      <w:r>
        <w:rPr>
          <w:rFonts w:cs="Times New Roman"/>
          <w:bCs/>
          <w:szCs w:val="32"/>
        </w:rPr>
        <w:t>人，且在某一科学领域、学术领域、行业领域或产业领域具有重要影响力和较高知名度的国际性、全国性或区域性会议。</w:t>
      </w:r>
    </w:p>
    <w:p w14:paraId="726531B2"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重大节庆活动指出参与市民游客超过</w:t>
      </w:r>
      <w:r>
        <w:rPr>
          <w:rFonts w:cs="Times New Roman"/>
          <w:bCs/>
          <w:szCs w:val="32"/>
        </w:rPr>
        <w:t>1</w:t>
      </w:r>
      <w:r>
        <w:rPr>
          <w:rFonts w:cs="Times New Roman"/>
          <w:bCs/>
          <w:szCs w:val="32"/>
        </w:rPr>
        <w:t>万人次或者在某一特定领域具有较大影响力的节庆活动。</w:t>
      </w:r>
    </w:p>
    <w:p w14:paraId="2F3077B2"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重大赛事活动指由国际体育赛事组织机构或全国性体育赛事组织机构，主承办的国际体育赛事、国家级体育赛事；或由国际商业赛事组织机构或全国性商业赛事组织机构，主承办</w:t>
      </w:r>
      <w:r>
        <w:rPr>
          <w:rFonts w:cs="Times New Roman" w:hint="eastAsia"/>
          <w:bCs/>
          <w:szCs w:val="32"/>
        </w:rPr>
        <w:t>的</w:t>
      </w:r>
      <w:r>
        <w:rPr>
          <w:rFonts w:cs="Times New Roman"/>
          <w:bCs/>
          <w:szCs w:val="32"/>
        </w:rPr>
        <w:t>国际商业赛事、全国性商业赛事。</w:t>
      </w:r>
    </w:p>
    <w:p w14:paraId="716CAF38"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2</w:t>
      </w:r>
      <w:r>
        <w:rPr>
          <w:rFonts w:cs="Times New Roman" w:hint="eastAsia"/>
          <w:bCs/>
          <w:szCs w:val="32"/>
        </w:rPr>
        <w:t>．</w:t>
      </w:r>
      <w:r>
        <w:rPr>
          <w:rFonts w:cs="Times New Roman"/>
          <w:bCs/>
          <w:szCs w:val="32"/>
        </w:rPr>
        <w:t>展出总面积</w:t>
      </w:r>
    </w:p>
    <w:p w14:paraId="718AE317"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指各类展览会议活动所使用租赁的专业展览场地、专业会议</w:t>
      </w:r>
      <w:r>
        <w:rPr>
          <w:rFonts w:cs="Times New Roman"/>
          <w:bCs/>
          <w:szCs w:val="32"/>
        </w:rPr>
        <w:lastRenderedPageBreak/>
        <w:t>场地的面积总和。</w:t>
      </w:r>
    </w:p>
    <w:p w14:paraId="7836CAFC"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3</w:t>
      </w:r>
      <w:r>
        <w:rPr>
          <w:rFonts w:cs="Times New Roman" w:hint="eastAsia"/>
          <w:bCs/>
          <w:szCs w:val="32"/>
        </w:rPr>
        <w:t>．</w:t>
      </w:r>
      <w:r>
        <w:rPr>
          <w:rFonts w:cs="Times New Roman"/>
          <w:bCs/>
          <w:szCs w:val="32"/>
        </w:rPr>
        <w:t>参会观展总人数</w:t>
      </w:r>
    </w:p>
    <w:p w14:paraId="69161975"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指各类展览会议活动中，参与会议和观看展览的人数总和。</w:t>
      </w:r>
    </w:p>
    <w:p w14:paraId="0FDB9DB6"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4</w:t>
      </w:r>
      <w:r>
        <w:rPr>
          <w:rFonts w:cs="Times New Roman" w:hint="eastAsia"/>
          <w:bCs/>
          <w:szCs w:val="32"/>
        </w:rPr>
        <w:t>．</w:t>
      </w:r>
      <w:r>
        <w:rPr>
          <w:rFonts w:cs="Times New Roman"/>
          <w:bCs/>
          <w:szCs w:val="32"/>
        </w:rPr>
        <w:t>国际展览数量</w:t>
      </w:r>
    </w:p>
    <w:p w14:paraId="773DFA6C"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指境外参展商来自六个及以上的国家和地区（不含港澳台），或者境外参展商不低于全部参展商的</w:t>
      </w:r>
      <w:r>
        <w:rPr>
          <w:rFonts w:cs="Times New Roman"/>
          <w:bCs/>
          <w:szCs w:val="32"/>
        </w:rPr>
        <w:t>10%</w:t>
      </w:r>
      <w:r>
        <w:rPr>
          <w:rFonts w:cs="Times New Roman"/>
          <w:bCs/>
          <w:szCs w:val="32"/>
        </w:rPr>
        <w:t>，或者境外观众不低于全部观众的</w:t>
      </w:r>
      <w:r>
        <w:rPr>
          <w:rFonts w:cs="Times New Roman"/>
          <w:bCs/>
          <w:szCs w:val="32"/>
        </w:rPr>
        <w:t>5%</w:t>
      </w:r>
      <w:r>
        <w:rPr>
          <w:rFonts w:cs="Times New Roman"/>
          <w:bCs/>
          <w:szCs w:val="32"/>
        </w:rPr>
        <w:t>的展览数量。</w:t>
      </w:r>
    </w:p>
    <w:p w14:paraId="1FBD00FD"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5</w:t>
      </w:r>
      <w:r>
        <w:rPr>
          <w:rFonts w:cs="Times New Roman" w:hint="eastAsia"/>
          <w:bCs/>
          <w:szCs w:val="32"/>
        </w:rPr>
        <w:t>．</w:t>
      </w:r>
      <w:r>
        <w:rPr>
          <w:rFonts w:cs="Times New Roman"/>
          <w:bCs/>
          <w:szCs w:val="32"/>
        </w:rPr>
        <w:t>国际会议数量</w:t>
      </w:r>
    </w:p>
    <w:p w14:paraId="30DBB836"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指由来自</w:t>
      </w:r>
      <w:r>
        <w:rPr>
          <w:rFonts w:cs="Times New Roman"/>
          <w:bCs/>
          <w:szCs w:val="32"/>
        </w:rPr>
        <w:t>3</w:t>
      </w:r>
      <w:r>
        <w:rPr>
          <w:rFonts w:cs="Times New Roman"/>
          <w:bCs/>
          <w:szCs w:val="32"/>
        </w:rPr>
        <w:t>个（含）以上境外国家或地区（不含港澳台）的代表参加的会议，或境外（不含港澳台）参会代表占全部参会人数</w:t>
      </w:r>
      <w:r>
        <w:rPr>
          <w:rFonts w:cs="Times New Roman"/>
          <w:bCs/>
          <w:szCs w:val="32"/>
        </w:rPr>
        <w:t>40%</w:t>
      </w:r>
      <w:r>
        <w:rPr>
          <w:rFonts w:cs="Times New Roman"/>
          <w:bCs/>
          <w:szCs w:val="32"/>
        </w:rPr>
        <w:t>（含）以上的会议数量。</w:t>
      </w:r>
    </w:p>
    <w:p w14:paraId="7836C256"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6</w:t>
      </w:r>
      <w:r>
        <w:rPr>
          <w:rFonts w:cs="Times New Roman" w:hint="eastAsia"/>
          <w:bCs/>
          <w:szCs w:val="32"/>
        </w:rPr>
        <w:t>．</w:t>
      </w:r>
      <w:r>
        <w:rPr>
          <w:rFonts w:cs="Times New Roman"/>
          <w:bCs/>
          <w:szCs w:val="32"/>
        </w:rPr>
        <w:t>UFI</w:t>
      </w:r>
      <w:r>
        <w:rPr>
          <w:rFonts w:cs="Times New Roman"/>
          <w:bCs/>
          <w:szCs w:val="32"/>
        </w:rPr>
        <w:t>认证项目数量</w:t>
      </w:r>
    </w:p>
    <w:p w14:paraId="67CA4B76"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指通过国际展览业协会（</w:t>
      </w:r>
      <w:r>
        <w:rPr>
          <w:rFonts w:cs="Times New Roman"/>
          <w:bCs/>
          <w:szCs w:val="32"/>
        </w:rPr>
        <w:t>UFI</w:t>
      </w:r>
      <w:r>
        <w:rPr>
          <w:rFonts w:cs="Times New Roman"/>
          <w:bCs/>
          <w:szCs w:val="32"/>
        </w:rPr>
        <w:t>）认证的国际性展览数量。</w:t>
      </w:r>
    </w:p>
    <w:p w14:paraId="56BDCF33"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7</w:t>
      </w:r>
      <w:r>
        <w:rPr>
          <w:rFonts w:cs="Times New Roman" w:hint="eastAsia"/>
          <w:bCs/>
          <w:szCs w:val="32"/>
        </w:rPr>
        <w:t>．</w:t>
      </w:r>
      <w:r>
        <w:rPr>
          <w:rFonts w:cs="Times New Roman"/>
          <w:bCs/>
          <w:szCs w:val="32"/>
        </w:rPr>
        <w:t>符合</w:t>
      </w:r>
      <w:r>
        <w:rPr>
          <w:rFonts w:cs="Times New Roman"/>
          <w:bCs/>
          <w:szCs w:val="32"/>
        </w:rPr>
        <w:t>ICCA</w:t>
      </w:r>
      <w:r>
        <w:rPr>
          <w:rFonts w:cs="Times New Roman"/>
          <w:bCs/>
          <w:szCs w:val="32"/>
        </w:rPr>
        <w:t>标准的国际会议数量</w:t>
      </w:r>
    </w:p>
    <w:p w14:paraId="4AC2AF7E"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指符合国际大会及会议协会（</w:t>
      </w:r>
      <w:r>
        <w:rPr>
          <w:rFonts w:cs="Times New Roman"/>
          <w:bCs/>
          <w:szCs w:val="32"/>
        </w:rPr>
        <w:t>ICCA</w:t>
      </w:r>
      <w:r>
        <w:rPr>
          <w:rFonts w:cs="Times New Roman"/>
          <w:bCs/>
          <w:szCs w:val="32"/>
        </w:rPr>
        <w:t>）统计标准的国际性会议数量。</w:t>
      </w:r>
    </w:p>
    <w:p w14:paraId="29D3580E"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8</w:t>
      </w:r>
      <w:r>
        <w:rPr>
          <w:rFonts w:cs="Times New Roman" w:hint="eastAsia"/>
          <w:bCs/>
          <w:szCs w:val="32"/>
        </w:rPr>
        <w:t>．</w:t>
      </w:r>
      <w:r>
        <w:rPr>
          <w:rFonts w:cs="Times New Roman"/>
          <w:bCs/>
          <w:szCs w:val="32"/>
        </w:rPr>
        <w:t>会展业总收入</w:t>
      </w:r>
    </w:p>
    <w:p w14:paraId="2BE5DE6A"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指各类会展活动产生的直接收入和拉动收入之</w:t>
      </w:r>
      <w:proofErr w:type="gramStart"/>
      <w:r>
        <w:rPr>
          <w:rFonts w:cs="Times New Roman"/>
          <w:bCs/>
          <w:szCs w:val="32"/>
        </w:rPr>
        <w:t>和</w:t>
      </w:r>
      <w:proofErr w:type="gramEnd"/>
      <w:r>
        <w:rPr>
          <w:rFonts w:cs="Times New Roman"/>
          <w:bCs/>
          <w:szCs w:val="32"/>
        </w:rPr>
        <w:t>。</w:t>
      </w:r>
    </w:p>
    <w:p w14:paraId="2C924D5E"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9</w:t>
      </w:r>
      <w:r>
        <w:rPr>
          <w:rFonts w:cs="Times New Roman" w:hint="eastAsia"/>
          <w:bCs/>
          <w:szCs w:val="32"/>
        </w:rPr>
        <w:t>．</w:t>
      </w:r>
      <w:r>
        <w:rPr>
          <w:rFonts w:cs="Times New Roman"/>
          <w:bCs/>
          <w:szCs w:val="32"/>
        </w:rPr>
        <w:t>会展业直接收入</w:t>
      </w:r>
    </w:p>
    <w:p w14:paraId="03AEE638"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指会展活动中直接产生的场馆租赁收入、会场租赁收入、展位收入、布展收入、会务收入、执行服务收入等之</w:t>
      </w:r>
      <w:proofErr w:type="gramStart"/>
      <w:r>
        <w:rPr>
          <w:rFonts w:cs="Times New Roman"/>
          <w:bCs/>
          <w:szCs w:val="32"/>
        </w:rPr>
        <w:t>和</w:t>
      </w:r>
      <w:proofErr w:type="gramEnd"/>
      <w:r>
        <w:rPr>
          <w:rFonts w:cs="Times New Roman"/>
          <w:bCs/>
          <w:szCs w:val="32"/>
        </w:rPr>
        <w:t>。</w:t>
      </w:r>
    </w:p>
    <w:p w14:paraId="67C2A85D"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t>10</w:t>
      </w:r>
      <w:r>
        <w:rPr>
          <w:rFonts w:cs="Times New Roman" w:hint="eastAsia"/>
          <w:bCs/>
          <w:szCs w:val="32"/>
        </w:rPr>
        <w:t>．</w:t>
      </w:r>
      <w:r>
        <w:rPr>
          <w:rFonts w:cs="Times New Roman"/>
          <w:bCs/>
          <w:szCs w:val="32"/>
        </w:rPr>
        <w:t>会展业拉动收入</w:t>
      </w:r>
    </w:p>
    <w:p w14:paraId="31C1F691" w14:textId="77777777" w:rsidR="001F2B4F" w:rsidRDefault="00000000">
      <w:pPr>
        <w:overflowPunct w:val="0"/>
        <w:adjustRightInd w:val="0"/>
        <w:spacing w:line="579" w:lineRule="exact"/>
        <w:ind w:firstLineChars="200" w:firstLine="640"/>
        <w:rPr>
          <w:rFonts w:cs="Times New Roman"/>
          <w:bCs/>
          <w:szCs w:val="32"/>
        </w:rPr>
      </w:pPr>
      <w:r>
        <w:rPr>
          <w:rFonts w:cs="Times New Roman"/>
          <w:bCs/>
          <w:szCs w:val="32"/>
        </w:rPr>
        <w:lastRenderedPageBreak/>
        <w:t>指由会展活动所衍生带动产生的广告收入、交通物流收入、住宿收入、餐饮收入、商贸购物收入、旅游收入等间接性收入之</w:t>
      </w:r>
      <w:proofErr w:type="gramStart"/>
      <w:r>
        <w:rPr>
          <w:rFonts w:cs="Times New Roman"/>
          <w:bCs/>
          <w:szCs w:val="32"/>
        </w:rPr>
        <w:t>和</w:t>
      </w:r>
      <w:proofErr w:type="gramEnd"/>
      <w:r>
        <w:rPr>
          <w:rFonts w:cs="Times New Roman"/>
          <w:bCs/>
          <w:szCs w:val="32"/>
        </w:rPr>
        <w:t>。</w:t>
      </w:r>
    </w:p>
    <w:p w14:paraId="791CD909" w14:textId="77777777" w:rsidR="001F2B4F" w:rsidRDefault="00000000">
      <w:pPr>
        <w:overflowPunct w:val="0"/>
        <w:adjustRightInd w:val="0"/>
        <w:spacing w:line="579" w:lineRule="exact"/>
        <w:ind w:firstLineChars="200" w:firstLine="640"/>
        <w:rPr>
          <w:rFonts w:cs="Times New Roman"/>
          <w:bCs/>
          <w:szCs w:val="32"/>
        </w:rPr>
      </w:pPr>
      <w:r>
        <w:rPr>
          <w:rFonts w:cs="Times New Roman" w:hint="eastAsia"/>
          <w:bCs/>
          <w:szCs w:val="32"/>
        </w:rPr>
        <w:t>1</w:t>
      </w:r>
      <w:r>
        <w:rPr>
          <w:rFonts w:cs="Times New Roman"/>
          <w:bCs/>
          <w:szCs w:val="32"/>
        </w:rPr>
        <w:t>1</w:t>
      </w:r>
      <w:r>
        <w:rPr>
          <w:rFonts w:cs="Times New Roman" w:hint="eastAsia"/>
          <w:bCs/>
          <w:szCs w:val="32"/>
        </w:rPr>
        <w:t>．世界商展百强</w:t>
      </w:r>
    </w:p>
    <w:p w14:paraId="62BF2F98" w14:textId="77777777" w:rsidR="001F2B4F" w:rsidRDefault="00000000">
      <w:pPr>
        <w:overflowPunct w:val="0"/>
        <w:adjustRightInd w:val="0"/>
        <w:spacing w:line="579" w:lineRule="exact"/>
        <w:ind w:firstLineChars="200" w:firstLine="640"/>
        <w:rPr>
          <w:szCs w:val="32"/>
        </w:rPr>
      </w:pPr>
      <w:r>
        <w:rPr>
          <w:rFonts w:cs="Times New Roman" w:hint="eastAsia"/>
          <w:bCs/>
          <w:szCs w:val="32"/>
        </w:rPr>
        <w:t>指机械工业信息研究院《进出口经理人》杂志发布的世界商展</w:t>
      </w:r>
      <w:r>
        <w:rPr>
          <w:rFonts w:cs="Times New Roman"/>
          <w:bCs/>
          <w:szCs w:val="32"/>
        </w:rPr>
        <w:t>100</w:t>
      </w:r>
      <w:r>
        <w:rPr>
          <w:rFonts w:cs="Times New Roman"/>
          <w:bCs/>
          <w:szCs w:val="32"/>
        </w:rPr>
        <w:t>强</w:t>
      </w:r>
      <w:r>
        <w:rPr>
          <w:rFonts w:cs="Times New Roman" w:hint="eastAsia"/>
          <w:bCs/>
          <w:szCs w:val="32"/>
        </w:rPr>
        <w:t>。</w:t>
      </w:r>
    </w:p>
    <w:p w14:paraId="5B91C7D6" w14:textId="77777777" w:rsidR="001F2B4F" w:rsidRDefault="001F2B4F">
      <w:pPr>
        <w:overflowPunct w:val="0"/>
        <w:sectPr w:rsidR="001F2B4F">
          <w:headerReference w:type="even" r:id="rId15"/>
          <w:headerReference w:type="default" r:id="rId16"/>
          <w:headerReference w:type="first" r:id="rId17"/>
          <w:pgSz w:w="11907" w:h="16840"/>
          <w:pgMar w:top="2098" w:right="1474" w:bottom="1928" w:left="1588" w:header="851" w:footer="1588" w:gutter="0"/>
          <w:cols w:space="425"/>
          <w:docGrid w:linePitch="312"/>
        </w:sectPr>
      </w:pPr>
    </w:p>
    <w:p w14:paraId="02AC52FC" w14:textId="77777777" w:rsidR="001F2B4F" w:rsidRDefault="00000000">
      <w:pPr>
        <w:overflowPunct w:val="0"/>
        <w:adjustRightInd w:val="0"/>
        <w:snapToGrid w:val="0"/>
        <w:spacing w:line="600" w:lineRule="exact"/>
        <w:jc w:val="left"/>
        <w:outlineLvl w:val="0"/>
        <w:rPr>
          <w:rFonts w:eastAsia="方正黑体_GBK" w:cs="宋体"/>
          <w:bCs/>
          <w:kern w:val="44"/>
          <w:szCs w:val="32"/>
        </w:rPr>
      </w:pPr>
      <w:bookmarkStart w:id="155" w:name="_Toc89265567"/>
      <w:bookmarkStart w:id="156" w:name="_Toc93092586"/>
      <w:bookmarkStart w:id="157" w:name="_Toc91967427"/>
      <w:bookmarkStart w:id="158" w:name="_Toc96622391"/>
      <w:bookmarkEnd w:id="155"/>
      <w:r>
        <w:rPr>
          <w:rFonts w:eastAsia="方正黑体_GBK" w:cs="宋体"/>
          <w:bCs/>
          <w:kern w:val="44"/>
          <w:szCs w:val="32"/>
        </w:rPr>
        <w:lastRenderedPageBreak/>
        <w:t>附件</w:t>
      </w:r>
      <w:bookmarkEnd w:id="156"/>
      <w:bookmarkEnd w:id="157"/>
      <w:r>
        <w:rPr>
          <w:rFonts w:eastAsia="方正黑体_GBK" w:cs="宋体" w:hint="eastAsia"/>
          <w:bCs/>
          <w:kern w:val="44"/>
          <w:szCs w:val="32"/>
        </w:rPr>
        <w:t>2</w:t>
      </w:r>
      <w:bookmarkEnd w:id="158"/>
    </w:p>
    <w:p w14:paraId="27F832CA" w14:textId="77777777" w:rsidR="001F2B4F" w:rsidRDefault="00000000">
      <w:pPr>
        <w:overflowPunct w:val="0"/>
        <w:adjustRightInd w:val="0"/>
        <w:snapToGrid w:val="0"/>
        <w:spacing w:line="600" w:lineRule="exact"/>
        <w:jc w:val="center"/>
        <w:outlineLvl w:val="0"/>
        <w:rPr>
          <w:rFonts w:ascii="方正小标宋_GBK" w:eastAsia="方正小标宋_GBK" w:cs="楷体_GB2312"/>
          <w:sz w:val="44"/>
          <w:szCs w:val="44"/>
        </w:rPr>
      </w:pPr>
      <w:bookmarkStart w:id="159" w:name="_Toc96622392"/>
      <w:r>
        <w:rPr>
          <w:rFonts w:ascii="方正小标宋_GBK" w:eastAsia="方正小标宋_GBK" w:cs="楷体_GB2312" w:hint="eastAsia"/>
          <w:sz w:val="44"/>
          <w:szCs w:val="44"/>
        </w:rPr>
        <w:t>成都市</w:t>
      </w:r>
      <w:bookmarkStart w:id="160" w:name="_Hlk100844342"/>
      <w:proofErr w:type="gramStart"/>
      <w:r>
        <w:rPr>
          <w:rFonts w:ascii="方正小标宋_GBK" w:eastAsia="方正小标宋_GBK" w:cs="楷体_GB2312" w:hint="eastAsia"/>
          <w:sz w:val="44"/>
          <w:szCs w:val="44"/>
        </w:rPr>
        <w:t>建圈强链重点</w:t>
      </w:r>
      <w:proofErr w:type="gramEnd"/>
      <w:r>
        <w:rPr>
          <w:rFonts w:ascii="方正小标宋_GBK" w:eastAsia="方正小标宋_GBK" w:cs="楷体_GB2312" w:hint="eastAsia"/>
          <w:sz w:val="44"/>
          <w:szCs w:val="44"/>
        </w:rPr>
        <w:t>培育展会</w:t>
      </w:r>
      <w:bookmarkEnd w:id="159"/>
      <w:r>
        <w:rPr>
          <w:rFonts w:ascii="方正小标宋_GBK" w:eastAsia="方正小标宋_GBK" w:cs="楷体_GB2312" w:hint="eastAsia"/>
          <w:sz w:val="44"/>
          <w:szCs w:val="44"/>
        </w:rPr>
        <w:t>方向</w:t>
      </w:r>
      <w:bookmarkEnd w:id="160"/>
    </w:p>
    <w:tbl>
      <w:tblPr>
        <w:tblStyle w:val="TableNormal"/>
        <w:tblW w:w="15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274"/>
        <w:gridCol w:w="1277"/>
        <w:gridCol w:w="2976"/>
        <w:gridCol w:w="5388"/>
        <w:gridCol w:w="3830"/>
      </w:tblGrid>
      <w:tr w:rsidR="001F2B4F" w14:paraId="4CEFEDEB" w14:textId="77777777">
        <w:trPr>
          <w:trHeight w:val="20"/>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77C12D6C" w14:textId="77777777" w:rsidR="001F2B4F" w:rsidRDefault="00000000">
            <w:pPr>
              <w:overflowPunct w:val="0"/>
              <w:snapToGrid w:val="0"/>
              <w:jc w:val="center"/>
              <w:rPr>
                <w:rFonts w:eastAsia="方正黑体_GBK" w:cs="Times New Roman"/>
                <w:bCs/>
                <w:kern w:val="0"/>
                <w:sz w:val="24"/>
                <w:szCs w:val="24"/>
                <w:lang w:eastAsia="en-US"/>
              </w:rPr>
            </w:pPr>
            <w:proofErr w:type="spellStart"/>
            <w:r>
              <w:rPr>
                <w:rFonts w:ascii="方正黑体_GBK" w:eastAsia="方正黑体_GBK" w:cs="Times New Roman"/>
                <w:bCs/>
                <w:kern w:val="0"/>
                <w:sz w:val="24"/>
                <w:szCs w:val="24"/>
                <w:lang w:eastAsia="en-US"/>
              </w:rPr>
              <w:t>序号</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14:paraId="48F8885D" w14:textId="77777777" w:rsidR="001F2B4F" w:rsidRDefault="00000000">
            <w:pPr>
              <w:overflowPunct w:val="0"/>
              <w:adjustRightInd w:val="0"/>
              <w:snapToGrid w:val="0"/>
              <w:spacing w:line="360" w:lineRule="atLeast"/>
              <w:jc w:val="center"/>
              <w:rPr>
                <w:rFonts w:ascii="方正黑体_GBK" w:eastAsia="方正黑体_GBK" w:cs="Times New Roman"/>
                <w:bCs/>
                <w:kern w:val="0"/>
                <w:sz w:val="24"/>
                <w:szCs w:val="24"/>
                <w:lang w:eastAsia="en-US"/>
              </w:rPr>
            </w:pPr>
            <w:proofErr w:type="spellStart"/>
            <w:r>
              <w:rPr>
                <w:rFonts w:ascii="方正黑体_GBK" w:eastAsia="方正黑体_GBK" w:cs="Times New Roman" w:hint="eastAsia"/>
                <w:bCs/>
                <w:kern w:val="0"/>
                <w:sz w:val="24"/>
                <w:szCs w:val="24"/>
                <w:lang w:eastAsia="en-US"/>
              </w:rPr>
              <w:t>产业</w:t>
            </w:r>
            <w:proofErr w:type="spellEnd"/>
          </w:p>
          <w:p w14:paraId="019422A5" w14:textId="77777777" w:rsidR="001F2B4F" w:rsidRDefault="00000000">
            <w:pPr>
              <w:overflowPunct w:val="0"/>
              <w:adjustRightInd w:val="0"/>
              <w:snapToGrid w:val="0"/>
              <w:spacing w:line="360" w:lineRule="atLeast"/>
              <w:jc w:val="center"/>
              <w:rPr>
                <w:rFonts w:ascii="方正黑体_GBK" w:eastAsia="方正黑体_GBK" w:cs="Times New Roman"/>
                <w:bCs/>
                <w:kern w:val="0"/>
                <w:sz w:val="24"/>
                <w:szCs w:val="24"/>
                <w:lang w:eastAsia="en-US"/>
              </w:rPr>
            </w:pPr>
            <w:proofErr w:type="spellStart"/>
            <w:r>
              <w:rPr>
                <w:rFonts w:ascii="方正黑体_GBK" w:eastAsia="方正黑体_GBK" w:cs="Times New Roman" w:hint="eastAsia"/>
                <w:bCs/>
                <w:kern w:val="0"/>
                <w:sz w:val="24"/>
                <w:szCs w:val="24"/>
                <w:lang w:eastAsia="en-US"/>
              </w:rPr>
              <w:t>生态圈</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14:paraId="2B01B2AA" w14:textId="77777777" w:rsidR="001F2B4F" w:rsidRDefault="00000000">
            <w:pPr>
              <w:overflowPunct w:val="0"/>
              <w:adjustRightInd w:val="0"/>
              <w:snapToGrid w:val="0"/>
              <w:spacing w:line="360" w:lineRule="atLeast"/>
              <w:jc w:val="center"/>
              <w:rPr>
                <w:rFonts w:ascii="方正黑体_GBK" w:eastAsia="方正黑体_GBK" w:cs="Times New Roman"/>
                <w:bCs/>
                <w:kern w:val="0"/>
                <w:sz w:val="24"/>
                <w:szCs w:val="24"/>
                <w:lang w:eastAsia="en-US"/>
              </w:rPr>
            </w:pPr>
            <w:proofErr w:type="spellStart"/>
            <w:r>
              <w:rPr>
                <w:rFonts w:ascii="方正黑体_GBK" w:eastAsia="方正黑体_GBK" w:cs="Times New Roman" w:hint="eastAsia"/>
                <w:bCs/>
                <w:kern w:val="0"/>
                <w:sz w:val="24"/>
                <w:szCs w:val="24"/>
                <w:lang w:eastAsia="en-US"/>
              </w:rPr>
              <w:t>重点</w:t>
            </w:r>
            <w:proofErr w:type="spellEnd"/>
          </w:p>
          <w:p w14:paraId="7B2FE95D" w14:textId="77777777" w:rsidR="001F2B4F" w:rsidRDefault="00000000">
            <w:pPr>
              <w:overflowPunct w:val="0"/>
              <w:adjustRightInd w:val="0"/>
              <w:snapToGrid w:val="0"/>
              <w:spacing w:line="360" w:lineRule="atLeast"/>
              <w:jc w:val="center"/>
              <w:rPr>
                <w:rFonts w:ascii="方正黑体_GBK" w:eastAsia="方正黑体_GBK" w:cs="Times New Roman"/>
                <w:bCs/>
                <w:kern w:val="0"/>
                <w:sz w:val="24"/>
                <w:szCs w:val="24"/>
                <w:lang w:eastAsia="en-US"/>
              </w:rPr>
            </w:pPr>
            <w:proofErr w:type="spellStart"/>
            <w:r>
              <w:rPr>
                <w:rFonts w:ascii="方正黑体_GBK" w:eastAsia="方正黑体_GBK" w:cs="Times New Roman" w:hint="eastAsia"/>
                <w:bCs/>
                <w:kern w:val="0"/>
                <w:sz w:val="24"/>
                <w:szCs w:val="24"/>
                <w:lang w:eastAsia="en-US"/>
              </w:rPr>
              <w:t>产业链</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781896AC" w14:textId="77777777" w:rsidR="001F2B4F" w:rsidRDefault="00000000">
            <w:pPr>
              <w:overflowPunct w:val="0"/>
              <w:snapToGrid w:val="0"/>
              <w:jc w:val="center"/>
              <w:rPr>
                <w:rFonts w:ascii="方正黑体_GBK" w:eastAsia="方正黑体_GBK" w:cs="Times New Roman"/>
                <w:bCs/>
                <w:kern w:val="0"/>
                <w:sz w:val="24"/>
                <w:szCs w:val="24"/>
                <w:lang w:eastAsia="en-US"/>
              </w:rPr>
            </w:pPr>
            <w:proofErr w:type="spellStart"/>
            <w:r>
              <w:rPr>
                <w:rFonts w:ascii="方正黑体_GBK" w:eastAsia="方正黑体_GBK" w:cs="Times New Roman" w:hint="eastAsia"/>
                <w:bCs/>
                <w:kern w:val="0"/>
                <w:sz w:val="24"/>
                <w:szCs w:val="24"/>
                <w:lang w:eastAsia="en-US"/>
              </w:rPr>
              <w:t>主要承载地</w:t>
            </w:r>
            <w:proofErr w:type="spellEnd"/>
          </w:p>
        </w:tc>
        <w:tc>
          <w:tcPr>
            <w:tcW w:w="5388" w:type="dxa"/>
            <w:tcBorders>
              <w:left w:val="single" w:sz="4" w:space="0" w:color="auto"/>
              <w:right w:val="single" w:sz="4" w:space="0" w:color="auto"/>
            </w:tcBorders>
            <w:vAlign w:val="center"/>
          </w:tcPr>
          <w:p w14:paraId="62592CB5" w14:textId="77777777" w:rsidR="001F2B4F" w:rsidRDefault="00000000">
            <w:pPr>
              <w:overflowPunct w:val="0"/>
              <w:snapToGrid w:val="0"/>
              <w:jc w:val="center"/>
              <w:rPr>
                <w:rFonts w:ascii="方正黑体_GBK" w:eastAsia="方正黑体_GBK" w:cs="Times New Roman"/>
                <w:bCs/>
                <w:kern w:val="0"/>
                <w:sz w:val="24"/>
                <w:szCs w:val="24"/>
              </w:rPr>
            </w:pPr>
            <w:r>
              <w:rPr>
                <w:rFonts w:ascii="方正黑体_GBK" w:eastAsia="方正黑体_GBK" w:cs="Times New Roman" w:hint="eastAsia"/>
                <w:bCs/>
                <w:kern w:val="0"/>
                <w:sz w:val="24"/>
                <w:szCs w:val="24"/>
              </w:rPr>
              <w:t>协同发展地（协同发展领域）</w:t>
            </w:r>
          </w:p>
        </w:tc>
        <w:tc>
          <w:tcPr>
            <w:tcW w:w="3830" w:type="dxa"/>
            <w:tcBorders>
              <w:left w:val="single" w:sz="4" w:space="0" w:color="auto"/>
            </w:tcBorders>
            <w:vAlign w:val="center"/>
          </w:tcPr>
          <w:p w14:paraId="12150F12" w14:textId="77777777" w:rsidR="001F2B4F" w:rsidRDefault="00000000">
            <w:pPr>
              <w:overflowPunct w:val="0"/>
              <w:snapToGrid w:val="0"/>
              <w:jc w:val="center"/>
              <w:rPr>
                <w:rFonts w:ascii="方正黑体_GBK" w:eastAsia="方正黑体_GBK" w:cs="Times New Roman"/>
                <w:bCs/>
                <w:kern w:val="0"/>
                <w:sz w:val="24"/>
                <w:szCs w:val="24"/>
                <w:lang w:eastAsia="en-US"/>
              </w:rPr>
            </w:pPr>
            <w:proofErr w:type="spellStart"/>
            <w:r>
              <w:rPr>
                <w:rFonts w:ascii="方正黑体_GBK" w:eastAsia="方正黑体_GBK" w:cs="Times New Roman" w:hint="eastAsia"/>
                <w:bCs/>
                <w:kern w:val="0"/>
                <w:sz w:val="24"/>
                <w:szCs w:val="24"/>
                <w:lang w:eastAsia="en-US"/>
              </w:rPr>
              <w:t>重点培育展会方向</w:t>
            </w:r>
            <w:proofErr w:type="spellEnd"/>
          </w:p>
        </w:tc>
      </w:tr>
      <w:tr w:rsidR="001F2B4F" w14:paraId="006CDA59" w14:textId="77777777">
        <w:trPr>
          <w:trHeight w:val="2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B873C0B" w14:textId="77777777" w:rsidR="001F2B4F" w:rsidRDefault="00000000">
            <w:pPr>
              <w:overflowPunct w:val="0"/>
              <w:snapToGrid w:val="0"/>
              <w:jc w:val="center"/>
              <w:rPr>
                <w:rFonts w:cs="Times New Roman"/>
                <w:bCs/>
                <w:kern w:val="0"/>
                <w:sz w:val="24"/>
                <w:szCs w:val="24"/>
                <w:lang w:eastAsia="en-US"/>
              </w:rPr>
            </w:pPr>
            <w:r>
              <w:rPr>
                <w:rFonts w:cs="Times New Roman"/>
                <w:bCs/>
                <w:w w:val="99"/>
                <w:kern w:val="0"/>
                <w:sz w:val="24"/>
                <w:szCs w:val="24"/>
                <w:lang w:eastAsia="en-US"/>
              </w:rPr>
              <w:t>1</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7E174C82"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电子信息</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14:paraId="5EDF0140"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集成电路</w:t>
            </w:r>
            <w:proofErr w:type="spellEnd"/>
          </w:p>
        </w:tc>
        <w:tc>
          <w:tcPr>
            <w:tcW w:w="2976" w:type="dxa"/>
            <w:tcBorders>
              <w:top w:val="single" w:sz="4" w:space="0" w:color="auto"/>
              <w:left w:val="single" w:sz="4" w:space="0" w:color="auto"/>
              <w:right w:val="single" w:sz="4" w:space="0" w:color="auto"/>
            </w:tcBorders>
            <w:vAlign w:val="center"/>
          </w:tcPr>
          <w:p w14:paraId="2C3FCEFD"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成都电子信息产业功能区</w:t>
            </w:r>
          </w:p>
          <w:p w14:paraId="26F4987A"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成都芯谷</w:t>
            </w:r>
            <w:proofErr w:type="spellEnd"/>
          </w:p>
        </w:tc>
        <w:tc>
          <w:tcPr>
            <w:tcW w:w="5388" w:type="dxa"/>
            <w:tcBorders>
              <w:left w:val="single" w:sz="4" w:space="0" w:color="auto"/>
              <w:right w:val="single" w:sz="4" w:space="0" w:color="auto"/>
            </w:tcBorders>
            <w:vAlign w:val="center"/>
          </w:tcPr>
          <w:p w14:paraId="108A4EA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成都新经济活力区（集成电路设计）</w:t>
            </w:r>
          </w:p>
          <w:p w14:paraId="24F6FC7C"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天府新区半导体材料产业功能区（集成电路装备材料）</w:t>
            </w:r>
          </w:p>
          <w:p w14:paraId="3240E8E7"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成都科学城（集成电路设计）</w:t>
            </w:r>
          </w:p>
        </w:tc>
        <w:tc>
          <w:tcPr>
            <w:tcW w:w="3830" w:type="dxa"/>
            <w:tcBorders>
              <w:left w:val="single" w:sz="4" w:space="0" w:color="auto"/>
            </w:tcBorders>
            <w:vAlign w:val="center"/>
          </w:tcPr>
          <w:p w14:paraId="7F33C72C"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重点围绕集成电路设计、人工智能芯片、量子通信等领域培育相关展会活动。</w:t>
            </w:r>
          </w:p>
        </w:tc>
      </w:tr>
      <w:tr w:rsidR="001F2B4F" w14:paraId="7CC8E077" w14:textId="77777777">
        <w:trPr>
          <w:trHeight w:val="20"/>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6B014971" w14:textId="77777777" w:rsidR="001F2B4F" w:rsidRDefault="001F2B4F">
            <w:pPr>
              <w:overflowPunct w:val="0"/>
              <w:snapToGrid w:val="0"/>
              <w:jc w:val="center"/>
              <w:rPr>
                <w:rFonts w:cs="Times New Roman"/>
                <w:bCs/>
                <w:kern w:val="0"/>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2B6B6E56"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5374A90A"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新型显示</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3D85CFA2"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成都电子信息产业功能区</w:t>
            </w:r>
          </w:p>
        </w:tc>
        <w:tc>
          <w:tcPr>
            <w:tcW w:w="5388" w:type="dxa"/>
            <w:tcBorders>
              <w:left w:val="single" w:sz="4" w:space="0" w:color="auto"/>
              <w:right w:val="single" w:sz="4" w:space="0" w:color="auto"/>
            </w:tcBorders>
            <w:vAlign w:val="center"/>
          </w:tcPr>
          <w:p w14:paraId="517B3C03"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崇州消费电子产业园（消费电子）</w:t>
            </w:r>
          </w:p>
          <w:p w14:paraId="7FBA27D6"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天府智能制造产业园（智能科技及工业互联网）</w:t>
            </w:r>
          </w:p>
          <w:p w14:paraId="23973A66"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hint="eastAsia"/>
                <w:bCs/>
                <w:kern w:val="0"/>
                <w:sz w:val="24"/>
                <w:szCs w:val="24"/>
                <w:lang w:eastAsia="en-US"/>
              </w:rPr>
              <w:t>成都芯谷（面板制造</w:t>
            </w:r>
            <w:proofErr w:type="spellEnd"/>
            <w:r>
              <w:rPr>
                <w:rFonts w:cs="Times New Roman" w:hint="eastAsia"/>
                <w:bCs/>
                <w:kern w:val="0"/>
                <w:sz w:val="24"/>
                <w:szCs w:val="24"/>
                <w:lang w:eastAsia="en-US"/>
              </w:rPr>
              <w:t>）</w:t>
            </w:r>
          </w:p>
        </w:tc>
        <w:tc>
          <w:tcPr>
            <w:tcW w:w="3830" w:type="dxa"/>
            <w:tcBorders>
              <w:left w:val="single" w:sz="4" w:space="0" w:color="auto"/>
            </w:tcBorders>
            <w:vAlign w:val="center"/>
          </w:tcPr>
          <w:p w14:paraId="7BA8260E"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重点围绕集成消费电子元器件、半导体材料、工业互联网、平板显示等领域培育相关展会活动。</w:t>
            </w:r>
          </w:p>
        </w:tc>
      </w:tr>
      <w:tr w:rsidR="001F2B4F" w14:paraId="67E69D7E" w14:textId="77777777">
        <w:trPr>
          <w:trHeight w:val="20"/>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41583F53" w14:textId="77777777" w:rsidR="001F2B4F" w:rsidRDefault="001F2B4F">
            <w:pPr>
              <w:overflowPunct w:val="0"/>
              <w:snapToGrid w:val="0"/>
              <w:jc w:val="center"/>
              <w:rPr>
                <w:rFonts w:cs="Times New Roman"/>
                <w:bCs/>
                <w:kern w:val="0"/>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718223FF"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28ABED77"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高端软件</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66C1C392"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成都新经济活力区</w:t>
            </w:r>
            <w:proofErr w:type="spellEnd"/>
          </w:p>
        </w:tc>
        <w:tc>
          <w:tcPr>
            <w:tcW w:w="5388" w:type="dxa"/>
            <w:tcBorders>
              <w:left w:val="single" w:sz="4" w:space="0" w:color="auto"/>
              <w:right w:val="single" w:sz="4" w:space="0" w:color="auto"/>
            </w:tcBorders>
            <w:vAlign w:val="center"/>
          </w:tcPr>
          <w:p w14:paraId="3278B3F9"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成都科学城（基础软件、</w:t>
            </w:r>
            <w:proofErr w:type="gramStart"/>
            <w:r>
              <w:rPr>
                <w:rFonts w:cs="Times New Roman" w:hint="eastAsia"/>
                <w:bCs/>
                <w:kern w:val="0"/>
                <w:sz w:val="24"/>
                <w:szCs w:val="24"/>
              </w:rPr>
              <w:t>大型行业</w:t>
            </w:r>
            <w:proofErr w:type="gramEnd"/>
            <w:r>
              <w:rPr>
                <w:rFonts w:cs="Times New Roman" w:hint="eastAsia"/>
                <w:bCs/>
                <w:kern w:val="0"/>
                <w:sz w:val="24"/>
                <w:szCs w:val="24"/>
              </w:rPr>
              <w:t>应用软件）</w:t>
            </w:r>
          </w:p>
          <w:p w14:paraId="5B9D1B91"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成都工业创新设计功能区（工业软件、嵌入式软件）</w:t>
            </w:r>
          </w:p>
          <w:p w14:paraId="353767C9"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金牛高新技术产业园（航天工业软件）</w:t>
            </w:r>
          </w:p>
          <w:p w14:paraId="29956941"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新都现代交通产业功能区（航空工业软件）</w:t>
            </w:r>
          </w:p>
          <w:p w14:paraId="63F3B748"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成都芯谷（新兴平台软件、嵌入式软件）</w:t>
            </w:r>
          </w:p>
        </w:tc>
        <w:tc>
          <w:tcPr>
            <w:tcW w:w="3830" w:type="dxa"/>
            <w:tcBorders>
              <w:left w:val="single" w:sz="4" w:space="0" w:color="auto"/>
            </w:tcBorders>
            <w:vAlign w:val="center"/>
          </w:tcPr>
          <w:p w14:paraId="17CB28BD"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重点围绕工业软件设计、“北斗</w:t>
            </w:r>
            <w:r>
              <w:rPr>
                <w:rFonts w:cs="Times New Roman"/>
                <w:bCs/>
                <w:kern w:val="0"/>
                <w:sz w:val="24"/>
                <w:szCs w:val="24"/>
              </w:rPr>
              <w:t>+”</w:t>
            </w:r>
            <w:r>
              <w:rPr>
                <w:rFonts w:cs="Times New Roman" w:hint="eastAsia"/>
                <w:bCs/>
                <w:kern w:val="0"/>
                <w:sz w:val="24"/>
                <w:szCs w:val="24"/>
              </w:rPr>
              <w:t>、嵌入式软件等领域培育相关展会活动。</w:t>
            </w:r>
          </w:p>
        </w:tc>
      </w:tr>
      <w:tr w:rsidR="001F2B4F" w14:paraId="05DD2119" w14:textId="77777777">
        <w:trPr>
          <w:trHeight w:val="121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534EBE1" w14:textId="77777777" w:rsidR="001F2B4F" w:rsidRDefault="00000000">
            <w:pPr>
              <w:overflowPunct w:val="0"/>
              <w:snapToGrid w:val="0"/>
              <w:jc w:val="center"/>
              <w:rPr>
                <w:rFonts w:cs="Times New Roman"/>
                <w:bCs/>
                <w:kern w:val="0"/>
                <w:sz w:val="24"/>
                <w:szCs w:val="24"/>
                <w:lang w:eastAsia="en-US"/>
              </w:rPr>
            </w:pPr>
            <w:r>
              <w:rPr>
                <w:rFonts w:cs="Times New Roman"/>
                <w:bCs/>
                <w:w w:val="99"/>
                <w:kern w:val="0"/>
                <w:sz w:val="24"/>
                <w:szCs w:val="24"/>
                <w:lang w:eastAsia="en-US"/>
              </w:rPr>
              <w:t>2</w:t>
            </w:r>
          </w:p>
        </w:tc>
        <w:tc>
          <w:tcPr>
            <w:tcW w:w="1274" w:type="dxa"/>
            <w:vMerge w:val="restart"/>
            <w:tcBorders>
              <w:top w:val="single" w:sz="4" w:space="0" w:color="auto"/>
              <w:left w:val="single" w:sz="4" w:space="0" w:color="auto"/>
              <w:right w:val="single" w:sz="4" w:space="0" w:color="auto"/>
            </w:tcBorders>
            <w:vAlign w:val="center"/>
          </w:tcPr>
          <w:p w14:paraId="2A49C8F1" w14:textId="77777777" w:rsidR="001F2B4F" w:rsidRDefault="00000000">
            <w:pPr>
              <w:tabs>
                <w:tab w:val="left" w:pos="307"/>
              </w:tabs>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医药健康</w:t>
            </w:r>
            <w:proofErr w:type="spellEnd"/>
          </w:p>
        </w:tc>
        <w:tc>
          <w:tcPr>
            <w:tcW w:w="1277" w:type="dxa"/>
            <w:tcBorders>
              <w:top w:val="single" w:sz="4" w:space="0" w:color="auto"/>
              <w:left w:val="single" w:sz="4" w:space="0" w:color="auto"/>
              <w:right w:val="single" w:sz="4" w:space="0" w:color="auto"/>
            </w:tcBorders>
            <w:vAlign w:val="center"/>
          </w:tcPr>
          <w:p w14:paraId="6BAE93D9" w14:textId="77777777" w:rsidR="001F2B4F" w:rsidRDefault="00000000">
            <w:pPr>
              <w:tabs>
                <w:tab w:val="left" w:pos="307"/>
              </w:tabs>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创新药</w:t>
            </w:r>
            <w:proofErr w:type="spellEnd"/>
          </w:p>
        </w:tc>
        <w:tc>
          <w:tcPr>
            <w:tcW w:w="2976" w:type="dxa"/>
            <w:tcBorders>
              <w:top w:val="single" w:sz="4" w:space="0" w:color="auto"/>
              <w:left w:val="single" w:sz="4" w:space="0" w:color="auto"/>
              <w:right w:val="single" w:sz="4" w:space="0" w:color="auto"/>
            </w:tcBorders>
            <w:vAlign w:val="center"/>
          </w:tcPr>
          <w:p w14:paraId="236AE4E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成都天府国际生物城</w:t>
            </w:r>
          </w:p>
          <w:p w14:paraId="56DCD33A"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成都医学城</w:t>
            </w:r>
          </w:p>
          <w:p w14:paraId="70A03953"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天府中药城</w:t>
            </w:r>
            <w:proofErr w:type="spellEnd"/>
          </w:p>
        </w:tc>
        <w:tc>
          <w:tcPr>
            <w:tcW w:w="5388" w:type="dxa"/>
            <w:tcBorders>
              <w:left w:val="single" w:sz="4" w:space="0" w:color="auto"/>
              <w:right w:val="single" w:sz="4" w:space="0" w:color="auto"/>
            </w:tcBorders>
            <w:vAlign w:val="center"/>
          </w:tcPr>
          <w:p w14:paraId="4DC41C83"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华西医</w:t>
            </w:r>
            <w:proofErr w:type="gramStart"/>
            <w:r>
              <w:rPr>
                <w:rFonts w:cs="Times New Roman" w:hint="eastAsia"/>
                <w:bCs/>
                <w:kern w:val="0"/>
                <w:sz w:val="24"/>
                <w:szCs w:val="24"/>
              </w:rPr>
              <w:t>美健康</w:t>
            </w:r>
            <w:proofErr w:type="gramEnd"/>
            <w:r>
              <w:rPr>
                <w:rFonts w:cs="Times New Roman" w:hint="eastAsia"/>
                <w:bCs/>
                <w:kern w:val="0"/>
                <w:sz w:val="24"/>
                <w:szCs w:val="24"/>
              </w:rPr>
              <w:t>城（创新药研发及成果转化）</w:t>
            </w:r>
          </w:p>
        </w:tc>
        <w:tc>
          <w:tcPr>
            <w:tcW w:w="3830" w:type="dxa"/>
            <w:tcBorders>
              <w:left w:val="single" w:sz="4" w:space="0" w:color="auto"/>
            </w:tcBorders>
            <w:vAlign w:val="center"/>
          </w:tcPr>
          <w:p w14:paraId="7786B510"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重点围绕新药创制及临床研究技术、生物医药、中医药等领域培育相关展会活动。</w:t>
            </w:r>
          </w:p>
        </w:tc>
      </w:tr>
      <w:tr w:rsidR="001F2B4F" w14:paraId="1DE89FFF" w14:textId="77777777">
        <w:trPr>
          <w:trHeight w:val="20"/>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0F4B8058" w14:textId="77777777" w:rsidR="001F2B4F" w:rsidRDefault="001F2B4F">
            <w:pPr>
              <w:overflowPunct w:val="0"/>
              <w:snapToGrid w:val="0"/>
              <w:jc w:val="center"/>
              <w:rPr>
                <w:rFonts w:cs="Times New Roman"/>
                <w:bCs/>
                <w:kern w:val="0"/>
                <w:sz w:val="24"/>
                <w:szCs w:val="24"/>
              </w:rPr>
            </w:pPr>
          </w:p>
        </w:tc>
        <w:tc>
          <w:tcPr>
            <w:tcW w:w="1274" w:type="dxa"/>
            <w:vMerge/>
            <w:tcBorders>
              <w:left w:val="single" w:sz="4" w:space="0" w:color="auto"/>
              <w:right w:val="single" w:sz="4" w:space="0" w:color="auto"/>
            </w:tcBorders>
            <w:vAlign w:val="center"/>
          </w:tcPr>
          <w:p w14:paraId="5E8775A7" w14:textId="77777777" w:rsidR="001F2B4F" w:rsidRDefault="001F2B4F">
            <w:pPr>
              <w:tabs>
                <w:tab w:val="left" w:pos="307"/>
              </w:tabs>
              <w:overflowPunct w:val="0"/>
              <w:snapToGrid w:val="0"/>
              <w:ind w:firstLineChars="1" w:firstLine="2"/>
              <w:jc w:val="center"/>
              <w:rPr>
                <w:rFonts w:cs="Times New Roman"/>
                <w:bCs/>
                <w:kern w:val="0"/>
                <w:sz w:val="24"/>
                <w:szCs w:val="24"/>
              </w:rPr>
            </w:pPr>
          </w:p>
        </w:tc>
        <w:tc>
          <w:tcPr>
            <w:tcW w:w="1277" w:type="dxa"/>
            <w:tcBorders>
              <w:top w:val="single" w:sz="4" w:space="0" w:color="auto"/>
              <w:left w:val="single" w:sz="4" w:space="0" w:color="auto"/>
              <w:right w:val="single" w:sz="4" w:space="0" w:color="auto"/>
            </w:tcBorders>
            <w:vAlign w:val="center"/>
          </w:tcPr>
          <w:p w14:paraId="0DB95EAA" w14:textId="77777777" w:rsidR="001F2B4F" w:rsidRDefault="00000000">
            <w:pPr>
              <w:tabs>
                <w:tab w:val="left" w:pos="307"/>
              </w:tabs>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高端医疗器械</w:t>
            </w:r>
            <w:proofErr w:type="spellEnd"/>
          </w:p>
        </w:tc>
        <w:tc>
          <w:tcPr>
            <w:tcW w:w="2976" w:type="dxa"/>
            <w:tcBorders>
              <w:top w:val="single" w:sz="4" w:space="0" w:color="auto"/>
              <w:left w:val="single" w:sz="4" w:space="0" w:color="auto"/>
              <w:right w:val="single" w:sz="4" w:space="0" w:color="auto"/>
            </w:tcBorders>
            <w:vAlign w:val="center"/>
          </w:tcPr>
          <w:p w14:paraId="1B714ED1"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成都天府国际生物城</w:t>
            </w:r>
          </w:p>
          <w:p w14:paraId="64E95E19"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成都医学城</w:t>
            </w:r>
          </w:p>
          <w:p w14:paraId="67CBCB6F"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成都未来医学城</w:t>
            </w:r>
            <w:proofErr w:type="spellEnd"/>
          </w:p>
        </w:tc>
        <w:tc>
          <w:tcPr>
            <w:tcW w:w="5388" w:type="dxa"/>
            <w:tcBorders>
              <w:left w:val="single" w:sz="4" w:space="0" w:color="auto"/>
              <w:right w:val="single" w:sz="4" w:space="0" w:color="auto"/>
            </w:tcBorders>
            <w:vAlign w:val="center"/>
          </w:tcPr>
          <w:p w14:paraId="10483FD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天府中药城（中医器械）</w:t>
            </w:r>
          </w:p>
          <w:p w14:paraId="3EC4C3E9" w14:textId="77777777" w:rsidR="001F2B4F" w:rsidRDefault="00000000">
            <w:pPr>
              <w:tabs>
                <w:tab w:val="left" w:pos="307"/>
              </w:tabs>
              <w:overflowPunct w:val="0"/>
              <w:snapToGrid w:val="0"/>
              <w:ind w:firstLineChars="1" w:firstLine="2"/>
              <w:jc w:val="left"/>
              <w:rPr>
                <w:rFonts w:cs="Times New Roman"/>
                <w:kern w:val="0"/>
                <w:sz w:val="24"/>
                <w:szCs w:val="24"/>
              </w:rPr>
            </w:pPr>
            <w:r>
              <w:rPr>
                <w:rFonts w:cs="Times New Roman" w:hint="eastAsia"/>
                <w:bCs/>
                <w:kern w:val="0"/>
                <w:sz w:val="24"/>
                <w:szCs w:val="24"/>
              </w:rPr>
              <w:t>华西医</w:t>
            </w:r>
            <w:proofErr w:type="gramStart"/>
            <w:r>
              <w:rPr>
                <w:rFonts w:cs="Times New Roman" w:hint="eastAsia"/>
                <w:bCs/>
                <w:kern w:val="0"/>
                <w:sz w:val="24"/>
                <w:szCs w:val="24"/>
              </w:rPr>
              <w:t>美健康</w:t>
            </w:r>
            <w:proofErr w:type="gramEnd"/>
            <w:r>
              <w:rPr>
                <w:rFonts w:cs="Times New Roman" w:hint="eastAsia"/>
                <w:bCs/>
                <w:kern w:val="0"/>
                <w:sz w:val="24"/>
                <w:szCs w:val="24"/>
              </w:rPr>
              <w:t>城（医药器械研发及成果转化）</w:t>
            </w:r>
          </w:p>
        </w:tc>
        <w:tc>
          <w:tcPr>
            <w:tcW w:w="3830" w:type="dxa"/>
            <w:tcBorders>
              <w:left w:val="single" w:sz="4" w:space="0" w:color="auto"/>
            </w:tcBorders>
            <w:vAlign w:val="center"/>
          </w:tcPr>
          <w:p w14:paraId="1D9CA813"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重点围绕医疗健康、医疗器械与技术、中药材数字生产、中药材质量检测、医学美容等领域培育相关展会活</w:t>
            </w:r>
            <w:r>
              <w:rPr>
                <w:rFonts w:cs="Times New Roman" w:hint="eastAsia"/>
                <w:bCs/>
                <w:kern w:val="0"/>
                <w:sz w:val="24"/>
                <w:szCs w:val="24"/>
              </w:rPr>
              <w:lastRenderedPageBreak/>
              <w:t>动。</w:t>
            </w:r>
          </w:p>
        </w:tc>
      </w:tr>
      <w:tr w:rsidR="001F2B4F" w14:paraId="798C9868" w14:textId="77777777">
        <w:trPr>
          <w:trHeight w:val="2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04EAADE" w14:textId="77777777" w:rsidR="001F2B4F" w:rsidRDefault="00000000">
            <w:pPr>
              <w:overflowPunct w:val="0"/>
              <w:snapToGrid w:val="0"/>
              <w:jc w:val="center"/>
              <w:rPr>
                <w:rFonts w:cs="Times New Roman"/>
                <w:bCs/>
                <w:kern w:val="0"/>
                <w:sz w:val="24"/>
                <w:szCs w:val="24"/>
                <w:lang w:eastAsia="en-US"/>
              </w:rPr>
            </w:pPr>
            <w:r>
              <w:rPr>
                <w:rFonts w:cs="Times New Roman"/>
                <w:bCs/>
                <w:kern w:val="0"/>
                <w:sz w:val="24"/>
                <w:szCs w:val="24"/>
                <w:lang w:eastAsia="en-US"/>
              </w:rPr>
              <w:lastRenderedPageBreak/>
              <w:t>3</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64FDC716"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航空航天</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14:paraId="76CB78EC"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航空发动机</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76EAED77"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新都现代交通产业功能区</w:t>
            </w:r>
          </w:p>
        </w:tc>
        <w:tc>
          <w:tcPr>
            <w:tcW w:w="5388" w:type="dxa"/>
            <w:tcBorders>
              <w:left w:val="single" w:sz="4" w:space="0" w:color="auto"/>
              <w:right w:val="single" w:sz="4" w:space="0" w:color="auto"/>
            </w:tcBorders>
            <w:vAlign w:val="center"/>
          </w:tcPr>
          <w:p w14:paraId="2DA4F8A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成都未来科技城（航空零部件）</w:t>
            </w:r>
          </w:p>
          <w:p w14:paraId="2CE2D87C"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天府国际航空经济区（航空制造与维修）</w:t>
            </w:r>
          </w:p>
          <w:p w14:paraId="1597D608"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双流航空经济区（航空维修与制造）</w:t>
            </w:r>
          </w:p>
          <w:p w14:paraId="7CFAA13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成都工业创新设计功能区（航空整机及零部件）</w:t>
            </w:r>
          </w:p>
        </w:tc>
        <w:tc>
          <w:tcPr>
            <w:tcW w:w="3830" w:type="dxa"/>
            <w:tcBorders>
              <w:left w:val="single" w:sz="4" w:space="0" w:color="auto"/>
            </w:tcBorders>
            <w:vAlign w:val="center"/>
          </w:tcPr>
          <w:p w14:paraId="36085AB5"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重点围绕航空燃气涡轮推进技术、航空维修、飞机室内设计等领域培育相关展会活动。</w:t>
            </w:r>
          </w:p>
        </w:tc>
      </w:tr>
      <w:tr w:rsidR="001F2B4F" w14:paraId="45D7BE34" w14:textId="77777777">
        <w:trPr>
          <w:trHeight w:val="20"/>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21BFD900" w14:textId="77777777" w:rsidR="001F2B4F" w:rsidRDefault="001F2B4F">
            <w:pPr>
              <w:overflowPunct w:val="0"/>
              <w:snapToGrid w:val="0"/>
              <w:jc w:val="center"/>
              <w:rPr>
                <w:rFonts w:cs="Times New Roman"/>
                <w:bCs/>
                <w:kern w:val="0"/>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57F49B5B"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5DF8E167"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工业无人机</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FEC031C"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成都工业创新设计功能区</w:t>
            </w:r>
          </w:p>
        </w:tc>
        <w:tc>
          <w:tcPr>
            <w:tcW w:w="5388" w:type="dxa"/>
            <w:tcBorders>
              <w:left w:val="single" w:sz="4" w:space="0" w:color="auto"/>
              <w:right w:val="single" w:sz="4" w:space="0" w:color="auto"/>
            </w:tcBorders>
            <w:vAlign w:val="center"/>
          </w:tcPr>
          <w:p w14:paraId="0C402915"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成都未来科技城（航空零部件）</w:t>
            </w:r>
          </w:p>
          <w:p w14:paraId="1474D14A"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天府国际航空经济区（航空制造与维修）</w:t>
            </w:r>
          </w:p>
          <w:p w14:paraId="608DC25F"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双流航空经济区（航空维修与制造）</w:t>
            </w:r>
          </w:p>
          <w:p w14:paraId="3966A315"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hint="eastAsia"/>
                <w:bCs/>
                <w:kern w:val="0"/>
                <w:sz w:val="24"/>
                <w:szCs w:val="24"/>
                <w:lang w:eastAsia="en-US"/>
              </w:rPr>
              <w:t>淮州新城（通用航空</w:t>
            </w:r>
            <w:proofErr w:type="spellEnd"/>
            <w:r>
              <w:rPr>
                <w:rFonts w:cs="Times New Roman" w:hint="eastAsia"/>
                <w:bCs/>
                <w:kern w:val="0"/>
                <w:sz w:val="24"/>
                <w:szCs w:val="24"/>
                <w:lang w:eastAsia="en-US"/>
              </w:rPr>
              <w:t>）</w:t>
            </w:r>
          </w:p>
        </w:tc>
        <w:tc>
          <w:tcPr>
            <w:tcW w:w="3830" w:type="dxa"/>
            <w:tcBorders>
              <w:left w:val="single" w:sz="4" w:space="0" w:color="auto"/>
            </w:tcBorders>
            <w:vAlign w:val="center"/>
          </w:tcPr>
          <w:p w14:paraId="318B3E09"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重点围绕工业无人机先进制造技术与装备、未来科技、发动机研制等领域培育相关展会活动。</w:t>
            </w:r>
          </w:p>
        </w:tc>
      </w:tr>
      <w:tr w:rsidR="001F2B4F" w14:paraId="2F10A45D" w14:textId="77777777">
        <w:trPr>
          <w:trHeight w:val="20"/>
          <w:jc w:val="center"/>
        </w:trPr>
        <w:tc>
          <w:tcPr>
            <w:tcW w:w="562" w:type="dxa"/>
            <w:tcBorders>
              <w:top w:val="single" w:sz="4" w:space="0" w:color="auto"/>
              <w:left w:val="single" w:sz="4" w:space="0" w:color="auto"/>
              <w:right w:val="single" w:sz="4" w:space="0" w:color="auto"/>
            </w:tcBorders>
            <w:vAlign w:val="center"/>
          </w:tcPr>
          <w:p w14:paraId="00A8B00E" w14:textId="77777777" w:rsidR="001F2B4F" w:rsidRDefault="00000000">
            <w:pPr>
              <w:overflowPunct w:val="0"/>
              <w:snapToGrid w:val="0"/>
              <w:jc w:val="center"/>
              <w:rPr>
                <w:rFonts w:cs="Times New Roman"/>
                <w:bCs/>
                <w:kern w:val="0"/>
                <w:sz w:val="24"/>
                <w:szCs w:val="24"/>
                <w:lang w:eastAsia="en-US"/>
              </w:rPr>
            </w:pPr>
            <w:r>
              <w:rPr>
                <w:rFonts w:cs="Times New Roman"/>
                <w:bCs/>
                <w:kern w:val="0"/>
                <w:sz w:val="24"/>
                <w:szCs w:val="24"/>
                <w:lang w:eastAsia="en-US"/>
              </w:rPr>
              <w:t>4</w:t>
            </w:r>
          </w:p>
        </w:tc>
        <w:tc>
          <w:tcPr>
            <w:tcW w:w="1274" w:type="dxa"/>
            <w:tcBorders>
              <w:top w:val="single" w:sz="4" w:space="0" w:color="auto"/>
              <w:left w:val="single" w:sz="4" w:space="0" w:color="auto"/>
              <w:right w:val="single" w:sz="4" w:space="0" w:color="auto"/>
            </w:tcBorders>
            <w:vAlign w:val="center"/>
          </w:tcPr>
          <w:p w14:paraId="6276B06C"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轨道交通</w:t>
            </w:r>
            <w:proofErr w:type="spellEnd"/>
          </w:p>
        </w:tc>
        <w:tc>
          <w:tcPr>
            <w:tcW w:w="1277" w:type="dxa"/>
            <w:tcBorders>
              <w:top w:val="single" w:sz="4" w:space="0" w:color="auto"/>
              <w:left w:val="single" w:sz="4" w:space="0" w:color="auto"/>
              <w:right w:val="single" w:sz="4" w:space="0" w:color="auto"/>
            </w:tcBorders>
            <w:vAlign w:val="center"/>
          </w:tcPr>
          <w:p w14:paraId="7E5B06EF"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轨道交通</w:t>
            </w:r>
            <w:proofErr w:type="spellEnd"/>
          </w:p>
        </w:tc>
        <w:tc>
          <w:tcPr>
            <w:tcW w:w="2976" w:type="dxa"/>
            <w:tcBorders>
              <w:top w:val="single" w:sz="4" w:space="0" w:color="auto"/>
              <w:left w:val="single" w:sz="4" w:space="0" w:color="auto"/>
              <w:right w:val="single" w:sz="4" w:space="0" w:color="auto"/>
            </w:tcBorders>
            <w:vAlign w:val="center"/>
          </w:tcPr>
          <w:p w14:paraId="0525F31E"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新都现代交通产业功能区</w:t>
            </w:r>
          </w:p>
          <w:p w14:paraId="1BEC75C8"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天府智能制造产业园</w:t>
            </w:r>
            <w:proofErr w:type="spellEnd"/>
          </w:p>
        </w:tc>
        <w:tc>
          <w:tcPr>
            <w:tcW w:w="5388" w:type="dxa"/>
            <w:tcBorders>
              <w:left w:val="single" w:sz="4" w:space="0" w:color="auto"/>
              <w:right w:val="single" w:sz="4" w:space="0" w:color="auto"/>
            </w:tcBorders>
            <w:vAlign w:val="center"/>
          </w:tcPr>
          <w:p w14:paraId="596F2FC1"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金牛</w:t>
            </w:r>
            <w:proofErr w:type="gramStart"/>
            <w:r>
              <w:rPr>
                <w:rFonts w:cs="Times New Roman" w:hint="eastAsia"/>
                <w:bCs/>
                <w:kern w:val="0"/>
                <w:sz w:val="24"/>
                <w:szCs w:val="24"/>
              </w:rPr>
              <w:t>坝科技</w:t>
            </w:r>
            <w:proofErr w:type="gramEnd"/>
            <w:r>
              <w:rPr>
                <w:rFonts w:cs="Times New Roman" w:hint="eastAsia"/>
                <w:bCs/>
                <w:kern w:val="0"/>
                <w:sz w:val="24"/>
                <w:szCs w:val="24"/>
              </w:rPr>
              <w:t>服务产业功能区（科技研发及勘察设计）</w:t>
            </w:r>
          </w:p>
          <w:p w14:paraId="1987DE8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中德（蒲江）产业新城（铁路设备）</w:t>
            </w:r>
          </w:p>
        </w:tc>
        <w:tc>
          <w:tcPr>
            <w:tcW w:w="3830" w:type="dxa"/>
            <w:tcBorders>
              <w:left w:val="single" w:sz="4" w:space="0" w:color="auto"/>
            </w:tcBorders>
            <w:vAlign w:val="center"/>
          </w:tcPr>
          <w:p w14:paraId="0C6F90BF"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重点围绕城际动车、铁路设备等领域培育相关展会活动。</w:t>
            </w:r>
          </w:p>
        </w:tc>
      </w:tr>
      <w:tr w:rsidR="001F2B4F" w14:paraId="315C0C18" w14:textId="77777777">
        <w:trPr>
          <w:trHeight w:val="20"/>
          <w:jc w:val="center"/>
        </w:trPr>
        <w:tc>
          <w:tcPr>
            <w:tcW w:w="562" w:type="dxa"/>
            <w:tcBorders>
              <w:top w:val="single" w:sz="4" w:space="0" w:color="auto"/>
              <w:left w:val="single" w:sz="4" w:space="0" w:color="auto"/>
              <w:right w:val="single" w:sz="4" w:space="0" w:color="auto"/>
            </w:tcBorders>
            <w:vAlign w:val="center"/>
          </w:tcPr>
          <w:p w14:paraId="2C7E475F" w14:textId="77777777" w:rsidR="001F2B4F" w:rsidRDefault="00000000">
            <w:pPr>
              <w:overflowPunct w:val="0"/>
              <w:snapToGrid w:val="0"/>
              <w:jc w:val="center"/>
              <w:rPr>
                <w:rFonts w:cs="Times New Roman"/>
                <w:bCs/>
                <w:kern w:val="0"/>
                <w:sz w:val="24"/>
                <w:szCs w:val="24"/>
                <w:lang w:eastAsia="en-US"/>
              </w:rPr>
            </w:pPr>
            <w:r>
              <w:rPr>
                <w:rFonts w:cs="Times New Roman"/>
                <w:bCs/>
                <w:w w:val="99"/>
                <w:kern w:val="0"/>
                <w:sz w:val="24"/>
                <w:szCs w:val="24"/>
                <w:lang w:eastAsia="en-US"/>
              </w:rPr>
              <w:t>5</w:t>
            </w:r>
          </w:p>
        </w:tc>
        <w:tc>
          <w:tcPr>
            <w:tcW w:w="1274" w:type="dxa"/>
            <w:tcBorders>
              <w:top w:val="single" w:sz="4" w:space="0" w:color="auto"/>
              <w:left w:val="single" w:sz="4" w:space="0" w:color="auto"/>
              <w:right w:val="single" w:sz="4" w:space="0" w:color="auto"/>
            </w:tcBorders>
            <w:vAlign w:val="center"/>
          </w:tcPr>
          <w:p w14:paraId="0384DB36"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汽车产业</w:t>
            </w:r>
            <w:proofErr w:type="spellEnd"/>
          </w:p>
        </w:tc>
        <w:tc>
          <w:tcPr>
            <w:tcW w:w="1277" w:type="dxa"/>
            <w:tcBorders>
              <w:top w:val="single" w:sz="4" w:space="0" w:color="auto"/>
              <w:left w:val="single" w:sz="4" w:space="0" w:color="auto"/>
              <w:right w:val="single" w:sz="4" w:space="0" w:color="auto"/>
            </w:tcBorders>
            <w:vAlign w:val="center"/>
          </w:tcPr>
          <w:p w14:paraId="1ADA55F9"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新能源汽车</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45210381"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龙泉汽车城</w:t>
            </w:r>
            <w:proofErr w:type="spellEnd"/>
          </w:p>
        </w:tc>
        <w:tc>
          <w:tcPr>
            <w:tcW w:w="5388" w:type="dxa"/>
            <w:tcBorders>
              <w:left w:val="single" w:sz="4" w:space="0" w:color="auto"/>
              <w:right w:val="single" w:sz="4" w:space="0" w:color="auto"/>
            </w:tcBorders>
            <w:vAlign w:val="center"/>
          </w:tcPr>
          <w:p w14:paraId="1E9041BC"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简州智能装备制造新城（智能装备制造）</w:t>
            </w:r>
          </w:p>
          <w:p w14:paraId="1F3682E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天府新区半导体材料产业功能区（新能源电池）</w:t>
            </w:r>
          </w:p>
          <w:p w14:paraId="09493F0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天府智能制造产业园（新能源汽车及储能产业）</w:t>
            </w:r>
          </w:p>
        </w:tc>
        <w:tc>
          <w:tcPr>
            <w:tcW w:w="3830" w:type="dxa"/>
            <w:tcBorders>
              <w:left w:val="single" w:sz="4" w:space="0" w:color="auto"/>
            </w:tcBorders>
            <w:vAlign w:val="center"/>
          </w:tcPr>
          <w:p w14:paraId="5A029D5E"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重点围绕新能源汽车零部件、智能装备、太阳能及清洁能源、城市轨道交通牵引供电系统技术等领域培育相关展会活动。</w:t>
            </w:r>
          </w:p>
        </w:tc>
      </w:tr>
      <w:tr w:rsidR="001F2B4F" w14:paraId="244E86D3" w14:textId="77777777">
        <w:trPr>
          <w:trHeight w:val="20"/>
          <w:jc w:val="center"/>
        </w:trPr>
        <w:tc>
          <w:tcPr>
            <w:tcW w:w="562" w:type="dxa"/>
            <w:tcBorders>
              <w:top w:val="single" w:sz="4" w:space="0" w:color="auto"/>
              <w:left w:val="single" w:sz="4" w:space="0" w:color="auto"/>
              <w:right w:val="single" w:sz="4" w:space="0" w:color="auto"/>
            </w:tcBorders>
            <w:vAlign w:val="center"/>
          </w:tcPr>
          <w:p w14:paraId="3348D29B" w14:textId="77777777" w:rsidR="001F2B4F" w:rsidRDefault="00000000">
            <w:pPr>
              <w:overflowPunct w:val="0"/>
              <w:snapToGrid w:val="0"/>
              <w:jc w:val="center"/>
              <w:rPr>
                <w:rFonts w:cs="Times New Roman"/>
                <w:bCs/>
                <w:kern w:val="0"/>
                <w:sz w:val="24"/>
                <w:szCs w:val="24"/>
                <w:lang w:eastAsia="en-US"/>
              </w:rPr>
            </w:pPr>
            <w:r>
              <w:rPr>
                <w:rFonts w:cs="Times New Roman"/>
                <w:bCs/>
                <w:w w:val="99"/>
                <w:kern w:val="0"/>
                <w:sz w:val="24"/>
                <w:szCs w:val="24"/>
                <w:lang w:eastAsia="en-US"/>
              </w:rPr>
              <w:t>6</w:t>
            </w:r>
          </w:p>
        </w:tc>
        <w:tc>
          <w:tcPr>
            <w:tcW w:w="1274" w:type="dxa"/>
            <w:tcBorders>
              <w:top w:val="single" w:sz="4" w:space="0" w:color="auto"/>
              <w:left w:val="single" w:sz="4" w:space="0" w:color="auto"/>
              <w:right w:val="single" w:sz="4" w:space="0" w:color="auto"/>
            </w:tcBorders>
            <w:vAlign w:val="center"/>
          </w:tcPr>
          <w:p w14:paraId="0BC44EA4"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新型材料</w:t>
            </w:r>
            <w:proofErr w:type="spellEnd"/>
          </w:p>
        </w:tc>
        <w:tc>
          <w:tcPr>
            <w:tcW w:w="1277" w:type="dxa"/>
            <w:tcBorders>
              <w:top w:val="single" w:sz="4" w:space="0" w:color="auto"/>
              <w:left w:val="single" w:sz="4" w:space="0" w:color="auto"/>
              <w:right w:val="single" w:sz="4" w:space="0" w:color="auto"/>
            </w:tcBorders>
            <w:vAlign w:val="center"/>
          </w:tcPr>
          <w:p w14:paraId="0509A440"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新型材料</w:t>
            </w:r>
            <w:proofErr w:type="spellEnd"/>
          </w:p>
        </w:tc>
        <w:tc>
          <w:tcPr>
            <w:tcW w:w="2976" w:type="dxa"/>
            <w:tcBorders>
              <w:top w:val="single" w:sz="4" w:space="0" w:color="auto"/>
              <w:left w:val="single" w:sz="4" w:space="0" w:color="auto"/>
              <w:right w:val="single" w:sz="4" w:space="0" w:color="auto"/>
            </w:tcBorders>
            <w:vAlign w:val="center"/>
          </w:tcPr>
          <w:p w14:paraId="5DEEE757"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成都高性能纤维材料产业功能区</w:t>
            </w:r>
          </w:p>
          <w:p w14:paraId="312DE85F" w14:textId="77777777" w:rsidR="001F2B4F" w:rsidRDefault="00000000">
            <w:pPr>
              <w:tabs>
                <w:tab w:val="left" w:pos="307"/>
              </w:tabs>
              <w:overflowPunct w:val="0"/>
              <w:snapToGrid w:val="0"/>
              <w:ind w:firstLineChars="1" w:firstLine="2"/>
              <w:jc w:val="left"/>
              <w:rPr>
                <w:rFonts w:cs="Times New Roman"/>
                <w:bCs/>
                <w:spacing w:val="-6"/>
                <w:kern w:val="0"/>
                <w:sz w:val="24"/>
                <w:szCs w:val="24"/>
              </w:rPr>
            </w:pPr>
            <w:r>
              <w:rPr>
                <w:rFonts w:cs="Times New Roman"/>
                <w:bCs/>
                <w:spacing w:val="-6"/>
                <w:kern w:val="0"/>
                <w:sz w:val="24"/>
                <w:szCs w:val="24"/>
              </w:rPr>
              <w:t>成都高分子新材料产业功能区</w:t>
            </w:r>
          </w:p>
          <w:p w14:paraId="49385057"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天府新区半导体材料产业功能区</w:t>
            </w:r>
          </w:p>
        </w:tc>
        <w:tc>
          <w:tcPr>
            <w:tcW w:w="5388" w:type="dxa"/>
            <w:tcBorders>
              <w:left w:val="single" w:sz="4" w:space="0" w:color="auto"/>
              <w:right w:val="single" w:sz="4" w:space="0" w:color="auto"/>
            </w:tcBorders>
            <w:vAlign w:val="center"/>
          </w:tcPr>
          <w:p w14:paraId="106EEC8E"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成都欧洲产业城（锂电三元正极材料）</w:t>
            </w:r>
          </w:p>
          <w:p w14:paraId="0A75B9FD"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淮州新城（锂</w:t>
            </w:r>
            <w:proofErr w:type="gramStart"/>
            <w:r>
              <w:rPr>
                <w:rFonts w:cs="Times New Roman" w:hint="eastAsia"/>
                <w:bCs/>
                <w:kern w:val="0"/>
                <w:sz w:val="24"/>
                <w:szCs w:val="24"/>
              </w:rPr>
              <w:t>电高镍</w:t>
            </w:r>
            <w:proofErr w:type="gramEnd"/>
            <w:r>
              <w:rPr>
                <w:rFonts w:cs="Times New Roman" w:hint="eastAsia"/>
                <w:bCs/>
                <w:kern w:val="0"/>
                <w:sz w:val="24"/>
                <w:szCs w:val="24"/>
              </w:rPr>
              <w:t>正极材料、光伏材料）</w:t>
            </w:r>
          </w:p>
          <w:p w14:paraId="616CCD7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成都空</w:t>
            </w:r>
            <w:proofErr w:type="gramStart"/>
            <w:r>
              <w:rPr>
                <w:rFonts w:cs="Times New Roman" w:hint="eastAsia"/>
                <w:bCs/>
                <w:kern w:val="0"/>
                <w:sz w:val="24"/>
                <w:szCs w:val="24"/>
              </w:rPr>
              <w:t>天产业</w:t>
            </w:r>
            <w:proofErr w:type="gramEnd"/>
            <w:r>
              <w:rPr>
                <w:rFonts w:cs="Times New Roman" w:hint="eastAsia"/>
                <w:bCs/>
                <w:kern w:val="0"/>
                <w:sz w:val="24"/>
                <w:szCs w:val="24"/>
              </w:rPr>
              <w:t>功能区（绿色建筑材料）</w:t>
            </w:r>
          </w:p>
        </w:tc>
        <w:tc>
          <w:tcPr>
            <w:tcW w:w="3830" w:type="dxa"/>
            <w:tcBorders>
              <w:left w:val="single" w:sz="4" w:space="0" w:color="auto"/>
            </w:tcBorders>
            <w:vAlign w:val="center"/>
          </w:tcPr>
          <w:p w14:paraId="26123A2D"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重点围绕高分子新材料、光伏材料、锂电三元正极材料、绿色建筑材料等领域培育相关展会活动。</w:t>
            </w:r>
          </w:p>
        </w:tc>
      </w:tr>
      <w:tr w:rsidR="001F2B4F" w14:paraId="685EB9CE" w14:textId="77777777">
        <w:trPr>
          <w:trHeight w:val="20"/>
          <w:jc w:val="center"/>
        </w:trPr>
        <w:tc>
          <w:tcPr>
            <w:tcW w:w="562" w:type="dxa"/>
            <w:tcBorders>
              <w:top w:val="single" w:sz="4" w:space="0" w:color="auto"/>
              <w:left w:val="single" w:sz="4" w:space="0" w:color="auto"/>
              <w:right w:val="single" w:sz="4" w:space="0" w:color="auto"/>
            </w:tcBorders>
            <w:vAlign w:val="center"/>
          </w:tcPr>
          <w:p w14:paraId="73970226" w14:textId="77777777" w:rsidR="001F2B4F" w:rsidRDefault="00000000">
            <w:pPr>
              <w:overflowPunct w:val="0"/>
              <w:snapToGrid w:val="0"/>
              <w:jc w:val="center"/>
              <w:rPr>
                <w:rFonts w:cs="Times New Roman"/>
                <w:bCs/>
                <w:kern w:val="0"/>
                <w:sz w:val="24"/>
                <w:szCs w:val="24"/>
                <w:lang w:eastAsia="en-US"/>
              </w:rPr>
            </w:pPr>
            <w:r>
              <w:rPr>
                <w:rFonts w:cs="Times New Roman"/>
                <w:bCs/>
                <w:w w:val="99"/>
                <w:kern w:val="0"/>
                <w:sz w:val="24"/>
                <w:szCs w:val="24"/>
                <w:lang w:eastAsia="en-US"/>
              </w:rPr>
              <w:t>7</w:t>
            </w:r>
          </w:p>
        </w:tc>
        <w:tc>
          <w:tcPr>
            <w:tcW w:w="1274" w:type="dxa"/>
            <w:tcBorders>
              <w:top w:val="single" w:sz="4" w:space="0" w:color="auto"/>
              <w:left w:val="single" w:sz="4" w:space="0" w:color="auto"/>
              <w:right w:val="single" w:sz="4" w:space="0" w:color="auto"/>
            </w:tcBorders>
            <w:vAlign w:val="center"/>
          </w:tcPr>
          <w:p w14:paraId="033A602C"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数字经济</w:t>
            </w:r>
            <w:proofErr w:type="spellEnd"/>
          </w:p>
        </w:tc>
        <w:tc>
          <w:tcPr>
            <w:tcW w:w="1277" w:type="dxa"/>
            <w:tcBorders>
              <w:top w:val="single" w:sz="4" w:space="0" w:color="auto"/>
              <w:left w:val="single" w:sz="4" w:space="0" w:color="auto"/>
              <w:right w:val="single" w:sz="4" w:space="0" w:color="auto"/>
            </w:tcBorders>
            <w:vAlign w:val="center"/>
          </w:tcPr>
          <w:p w14:paraId="71882EE7"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大数据产业</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107C5998"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成都科学城</w:t>
            </w:r>
            <w:proofErr w:type="spellEnd"/>
          </w:p>
        </w:tc>
        <w:tc>
          <w:tcPr>
            <w:tcW w:w="5388" w:type="dxa"/>
            <w:tcBorders>
              <w:left w:val="single" w:sz="4" w:space="0" w:color="auto"/>
              <w:right w:val="single" w:sz="4" w:space="0" w:color="auto"/>
            </w:tcBorders>
            <w:vAlign w:val="center"/>
          </w:tcPr>
          <w:p w14:paraId="0D85E893"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成都新经济活力区（数据服务）</w:t>
            </w:r>
          </w:p>
          <w:p w14:paraId="65380666"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天府牧</w:t>
            </w:r>
            <w:proofErr w:type="gramStart"/>
            <w:r>
              <w:rPr>
                <w:rFonts w:cs="Times New Roman" w:hint="eastAsia"/>
                <w:bCs/>
                <w:kern w:val="0"/>
                <w:sz w:val="24"/>
                <w:szCs w:val="24"/>
              </w:rPr>
              <w:t>山数字</w:t>
            </w:r>
            <w:proofErr w:type="gramEnd"/>
            <w:r>
              <w:rPr>
                <w:rFonts w:cs="Times New Roman" w:hint="eastAsia"/>
                <w:bCs/>
                <w:kern w:val="0"/>
                <w:sz w:val="24"/>
                <w:szCs w:val="24"/>
              </w:rPr>
              <w:t>新城（数字新基建）</w:t>
            </w:r>
          </w:p>
          <w:p w14:paraId="315A5D55"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lastRenderedPageBreak/>
              <w:t>天府数字文创城（网络视听）</w:t>
            </w:r>
          </w:p>
          <w:p w14:paraId="72BB5D64"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成都欧洲产业城（</w:t>
            </w:r>
            <w:r>
              <w:rPr>
                <w:rFonts w:cs="Times New Roman"/>
                <w:bCs/>
                <w:kern w:val="0"/>
                <w:sz w:val="24"/>
                <w:szCs w:val="24"/>
              </w:rPr>
              <w:t>5G</w:t>
            </w:r>
            <w:r>
              <w:rPr>
                <w:rFonts w:cs="Times New Roman"/>
                <w:bCs/>
                <w:kern w:val="0"/>
                <w:sz w:val="24"/>
                <w:szCs w:val="24"/>
              </w:rPr>
              <w:t>及智能电器研发应用）</w:t>
            </w:r>
          </w:p>
        </w:tc>
        <w:tc>
          <w:tcPr>
            <w:tcW w:w="3830" w:type="dxa"/>
            <w:tcBorders>
              <w:left w:val="single" w:sz="4" w:space="0" w:color="auto"/>
            </w:tcBorders>
            <w:vAlign w:val="center"/>
          </w:tcPr>
          <w:p w14:paraId="18FACB87"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lastRenderedPageBreak/>
              <w:t>重点围绕大数据网络、数字新基建、直播电商平台、</w:t>
            </w:r>
            <w:r>
              <w:rPr>
                <w:rFonts w:cs="Times New Roman" w:hint="eastAsia"/>
                <w:bCs/>
                <w:kern w:val="0"/>
                <w:sz w:val="24"/>
                <w:szCs w:val="24"/>
              </w:rPr>
              <w:t>5</w:t>
            </w:r>
            <w:r>
              <w:rPr>
                <w:rFonts w:cs="Times New Roman"/>
                <w:bCs/>
                <w:kern w:val="0"/>
                <w:sz w:val="24"/>
                <w:szCs w:val="24"/>
              </w:rPr>
              <w:t>G</w:t>
            </w:r>
            <w:r>
              <w:rPr>
                <w:rFonts w:cs="Times New Roman" w:hint="eastAsia"/>
                <w:bCs/>
                <w:kern w:val="0"/>
                <w:sz w:val="24"/>
                <w:szCs w:val="24"/>
              </w:rPr>
              <w:t>、智能家电等领域</w:t>
            </w:r>
            <w:r>
              <w:rPr>
                <w:rFonts w:cs="Times New Roman" w:hint="eastAsia"/>
                <w:bCs/>
                <w:kern w:val="0"/>
                <w:sz w:val="24"/>
                <w:szCs w:val="24"/>
              </w:rPr>
              <w:lastRenderedPageBreak/>
              <w:t>培育相关展会活动。</w:t>
            </w:r>
          </w:p>
        </w:tc>
      </w:tr>
      <w:tr w:rsidR="001F2B4F" w14:paraId="3B017CBB" w14:textId="77777777">
        <w:trPr>
          <w:trHeight w:val="20"/>
          <w:jc w:val="center"/>
        </w:trPr>
        <w:tc>
          <w:tcPr>
            <w:tcW w:w="562" w:type="dxa"/>
            <w:tcBorders>
              <w:top w:val="single" w:sz="4" w:space="0" w:color="auto"/>
              <w:left w:val="single" w:sz="4" w:space="0" w:color="auto"/>
              <w:right w:val="single" w:sz="4" w:space="0" w:color="auto"/>
            </w:tcBorders>
            <w:vAlign w:val="center"/>
          </w:tcPr>
          <w:p w14:paraId="150B03C8" w14:textId="77777777" w:rsidR="001F2B4F" w:rsidRDefault="00000000">
            <w:pPr>
              <w:overflowPunct w:val="0"/>
              <w:snapToGrid w:val="0"/>
              <w:jc w:val="center"/>
              <w:rPr>
                <w:rFonts w:cs="Times New Roman"/>
                <w:bCs/>
                <w:kern w:val="0"/>
                <w:sz w:val="24"/>
                <w:szCs w:val="24"/>
                <w:lang w:eastAsia="en-US"/>
              </w:rPr>
            </w:pPr>
            <w:r>
              <w:rPr>
                <w:rFonts w:cs="Times New Roman"/>
                <w:bCs/>
                <w:w w:val="99"/>
                <w:kern w:val="0"/>
                <w:sz w:val="24"/>
                <w:szCs w:val="24"/>
                <w:lang w:eastAsia="en-US"/>
              </w:rPr>
              <w:lastRenderedPageBreak/>
              <w:t>8</w:t>
            </w:r>
          </w:p>
        </w:tc>
        <w:tc>
          <w:tcPr>
            <w:tcW w:w="1274" w:type="dxa"/>
            <w:tcBorders>
              <w:top w:val="single" w:sz="4" w:space="0" w:color="auto"/>
              <w:left w:val="single" w:sz="4" w:space="0" w:color="auto"/>
              <w:right w:val="single" w:sz="4" w:space="0" w:color="auto"/>
            </w:tcBorders>
            <w:vAlign w:val="center"/>
          </w:tcPr>
          <w:p w14:paraId="629CD15E"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人工智能</w:t>
            </w:r>
            <w:proofErr w:type="spellEnd"/>
          </w:p>
        </w:tc>
        <w:tc>
          <w:tcPr>
            <w:tcW w:w="1277" w:type="dxa"/>
            <w:tcBorders>
              <w:top w:val="single" w:sz="4" w:space="0" w:color="auto"/>
              <w:left w:val="single" w:sz="4" w:space="0" w:color="auto"/>
              <w:right w:val="single" w:sz="4" w:space="0" w:color="auto"/>
            </w:tcBorders>
            <w:vAlign w:val="center"/>
          </w:tcPr>
          <w:p w14:paraId="3518E874"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人工智能</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179A73CC"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成都新经济活力区</w:t>
            </w:r>
            <w:proofErr w:type="spellEnd"/>
          </w:p>
        </w:tc>
        <w:tc>
          <w:tcPr>
            <w:tcW w:w="5388" w:type="dxa"/>
            <w:tcBorders>
              <w:left w:val="single" w:sz="4" w:space="0" w:color="auto"/>
              <w:right w:val="single" w:sz="4" w:space="0" w:color="auto"/>
            </w:tcBorders>
            <w:vAlign w:val="center"/>
          </w:tcPr>
          <w:p w14:paraId="1B5921C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成都科学城（先进计算</w:t>
            </w:r>
            <w:proofErr w:type="gramStart"/>
            <w:r>
              <w:rPr>
                <w:rFonts w:cs="Times New Roman" w:hint="eastAsia"/>
                <w:bCs/>
                <w:kern w:val="0"/>
                <w:sz w:val="24"/>
                <w:szCs w:val="24"/>
              </w:rPr>
              <w:t>及算力</w:t>
            </w:r>
            <w:proofErr w:type="gramEnd"/>
            <w:r>
              <w:rPr>
                <w:rFonts w:cs="Times New Roman" w:hint="eastAsia"/>
                <w:bCs/>
                <w:kern w:val="0"/>
                <w:sz w:val="24"/>
                <w:szCs w:val="24"/>
              </w:rPr>
              <w:t>服务）</w:t>
            </w:r>
          </w:p>
          <w:p w14:paraId="45722391" w14:textId="77777777" w:rsidR="001F2B4F" w:rsidRDefault="00000000">
            <w:pPr>
              <w:tabs>
                <w:tab w:val="left" w:pos="307"/>
              </w:tabs>
              <w:overflowPunct w:val="0"/>
              <w:snapToGrid w:val="0"/>
              <w:ind w:firstLineChars="1" w:firstLine="2"/>
              <w:jc w:val="left"/>
              <w:rPr>
                <w:rFonts w:cs="Times New Roman"/>
                <w:bCs/>
                <w:spacing w:val="-4"/>
                <w:kern w:val="0"/>
                <w:sz w:val="24"/>
                <w:szCs w:val="24"/>
              </w:rPr>
            </w:pPr>
            <w:r>
              <w:rPr>
                <w:rFonts w:cs="Times New Roman" w:hint="eastAsia"/>
                <w:bCs/>
                <w:spacing w:val="-4"/>
                <w:kern w:val="0"/>
                <w:sz w:val="24"/>
                <w:szCs w:val="24"/>
              </w:rPr>
              <w:t>龙潭工业机器人产业功能区（工业机器人和智能经济）</w:t>
            </w:r>
          </w:p>
          <w:p w14:paraId="46CB3BB4"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成都芯谷（物联网技术）</w:t>
            </w:r>
          </w:p>
          <w:p w14:paraId="7DBE53E9"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白鹭湾新经济总部功能区（绿色智能经济）</w:t>
            </w:r>
          </w:p>
          <w:p w14:paraId="09A60497"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龙泉汽车城（智能网联汽车）</w:t>
            </w:r>
          </w:p>
          <w:p w14:paraId="410ABA8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成都医学城（脑科学及人工智能）</w:t>
            </w:r>
          </w:p>
        </w:tc>
        <w:tc>
          <w:tcPr>
            <w:tcW w:w="3830" w:type="dxa"/>
            <w:tcBorders>
              <w:left w:val="single" w:sz="4" w:space="0" w:color="auto"/>
            </w:tcBorders>
            <w:vAlign w:val="center"/>
          </w:tcPr>
          <w:p w14:paraId="53A34E59"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重点围绕人工智能技术架构、先进计算、工业机器人、物联网、精准医学</w:t>
            </w:r>
            <w:r>
              <w:rPr>
                <w:rFonts w:cs="Times New Roman"/>
                <w:bCs/>
                <w:kern w:val="0"/>
                <w:sz w:val="24"/>
                <w:szCs w:val="24"/>
              </w:rPr>
              <w:t>等领域培育相关展会活动。</w:t>
            </w:r>
          </w:p>
        </w:tc>
      </w:tr>
      <w:tr w:rsidR="001F2B4F" w14:paraId="0108DA13" w14:textId="77777777">
        <w:trPr>
          <w:trHeight w:val="20"/>
          <w:jc w:val="center"/>
        </w:trPr>
        <w:tc>
          <w:tcPr>
            <w:tcW w:w="562" w:type="dxa"/>
            <w:vMerge w:val="restart"/>
            <w:tcBorders>
              <w:left w:val="single" w:sz="4" w:space="0" w:color="auto"/>
              <w:right w:val="single" w:sz="4" w:space="0" w:color="auto"/>
            </w:tcBorders>
            <w:vAlign w:val="center"/>
          </w:tcPr>
          <w:p w14:paraId="431AE7F4" w14:textId="77777777" w:rsidR="001F2B4F" w:rsidRDefault="00000000">
            <w:pPr>
              <w:overflowPunct w:val="0"/>
              <w:snapToGrid w:val="0"/>
              <w:jc w:val="center"/>
              <w:rPr>
                <w:rFonts w:cs="Times New Roman"/>
                <w:bCs/>
                <w:kern w:val="0"/>
                <w:sz w:val="24"/>
                <w:szCs w:val="24"/>
                <w:lang w:eastAsia="en-US"/>
              </w:rPr>
            </w:pPr>
            <w:r>
              <w:rPr>
                <w:rFonts w:cs="Times New Roman"/>
                <w:bCs/>
                <w:w w:val="99"/>
                <w:kern w:val="0"/>
                <w:sz w:val="24"/>
                <w:szCs w:val="24"/>
                <w:lang w:eastAsia="en-US"/>
              </w:rPr>
              <w:t>9</w:t>
            </w:r>
          </w:p>
        </w:tc>
        <w:tc>
          <w:tcPr>
            <w:tcW w:w="1274" w:type="dxa"/>
            <w:vMerge w:val="restart"/>
            <w:tcBorders>
              <w:left w:val="single" w:sz="4" w:space="0" w:color="auto"/>
              <w:right w:val="single" w:sz="4" w:space="0" w:color="auto"/>
            </w:tcBorders>
            <w:vAlign w:val="center"/>
          </w:tcPr>
          <w:p w14:paraId="7A414332"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先进生产性</w:t>
            </w:r>
            <w:proofErr w:type="spellEnd"/>
          </w:p>
          <w:p w14:paraId="34BBC0E9"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服务业</w:t>
            </w:r>
            <w:proofErr w:type="spellEnd"/>
          </w:p>
        </w:tc>
        <w:tc>
          <w:tcPr>
            <w:tcW w:w="1277" w:type="dxa"/>
            <w:tcBorders>
              <w:left w:val="single" w:sz="4" w:space="0" w:color="auto"/>
              <w:right w:val="single" w:sz="4" w:space="0" w:color="auto"/>
            </w:tcBorders>
            <w:vAlign w:val="center"/>
          </w:tcPr>
          <w:p w14:paraId="21E48C47"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金融业</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57E64D45"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交子公园金融商务区</w:t>
            </w:r>
            <w:proofErr w:type="spellEnd"/>
          </w:p>
        </w:tc>
        <w:tc>
          <w:tcPr>
            <w:tcW w:w="5388" w:type="dxa"/>
            <w:tcBorders>
              <w:left w:val="single" w:sz="4" w:space="0" w:color="auto"/>
              <w:right w:val="single" w:sz="4" w:space="0" w:color="auto"/>
            </w:tcBorders>
            <w:vAlign w:val="center"/>
          </w:tcPr>
          <w:p w14:paraId="392F22DD"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春熙路时尚活力区（消费金融）</w:t>
            </w:r>
          </w:p>
          <w:p w14:paraId="6059471C"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少城国际文创谷（文化金融）</w:t>
            </w:r>
          </w:p>
        </w:tc>
        <w:tc>
          <w:tcPr>
            <w:tcW w:w="3830" w:type="dxa"/>
            <w:tcBorders>
              <w:left w:val="single" w:sz="4" w:space="0" w:color="auto"/>
            </w:tcBorders>
            <w:vAlign w:val="center"/>
          </w:tcPr>
          <w:p w14:paraId="5C09DA4E"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重点围绕证券投资、数字版权交易</w:t>
            </w:r>
            <w:r>
              <w:rPr>
                <w:rFonts w:cs="Times New Roman"/>
                <w:bCs/>
                <w:kern w:val="0"/>
                <w:sz w:val="24"/>
                <w:szCs w:val="24"/>
              </w:rPr>
              <w:t>等领域培育相关展会活动。</w:t>
            </w:r>
          </w:p>
        </w:tc>
      </w:tr>
      <w:tr w:rsidR="001F2B4F" w14:paraId="0EC677F9" w14:textId="77777777">
        <w:trPr>
          <w:trHeight w:val="20"/>
          <w:jc w:val="center"/>
        </w:trPr>
        <w:tc>
          <w:tcPr>
            <w:tcW w:w="562" w:type="dxa"/>
            <w:vMerge/>
            <w:tcBorders>
              <w:left w:val="single" w:sz="4" w:space="0" w:color="auto"/>
              <w:right w:val="single" w:sz="4" w:space="0" w:color="auto"/>
            </w:tcBorders>
            <w:vAlign w:val="center"/>
          </w:tcPr>
          <w:p w14:paraId="4BA2C86B" w14:textId="77777777" w:rsidR="001F2B4F" w:rsidRDefault="001F2B4F">
            <w:pPr>
              <w:overflowPunct w:val="0"/>
              <w:snapToGrid w:val="0"/>
              <w:jc w:val="center"/>
              <w:rPr>
                <w:rFonts w:cs="Times New Roman"/>
                <w:bCs/>
                <w:kern w:val="0"/>
                <w:sz w:val="24"/>
                <w:szCs w:val="24"/>
              </w:rPr>
            </w:pPr>
          </w:p>
        </w:tc>
        <w:tc>
          <w:tcPr>
            <w:tcW w:w="1274" w:type="dxa"/>
            <w:vMerge/>
            <w:tcBorders>
              <w:left w:val="single" w:sz="4" w:space="0" w:color="auto"/>
              <w:right w:val="single" w:sz="4" w:space="0" w:color="auto"/>
            </w:tcBorders>
            <w:vAlign w:val="center"/>
          </w:tcPr>
          <w:p w14:paraId="3EEF8F95"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left w:val="single" w:sz="4" w:space="0" w:color="auto"/>
              <w:right w:val="single" w:sz="4" w:space="0" w:color="auto"/>
            </w:tcBorders>
            <w:vAlign w:val="center"/>
          </w:tcPr>
          <w:p w14:paraId="07641CDA"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会展业</w:t>
            </w:r>
            <w:proofErr w:type="spellEnd"/>
          </w:p>
        </w:tc>
        <w:tc>
          <w:tcPr>
            <w:tcW w:w="2976" w:type="dxa"/>
            <w:tcBorders>
              <w:top w:val="single" w:sz="4" w:space="0" w:color="auto"/>
              <w:left w:val="single" w:sz="4" w:space="0" w:color="auto"/>
              <w:right w:val="single" w:sz="4" w:space="0" w:color="auto"/>
            </w:tcBorders>
            <w:vAlign w:val="center"/>
          </w:tcPr>
          <w:p w14:paraId="26B382E1" w14:textId="77777777" w:rsidR="001F2B4F" w:rsidRDefault="00000000">
            <w:pPr>
              <w:overflowPunct w:val="0"/>
              <w:snapToGrid w:val="0"/>
              <w:ind w:firstLineChars="1" w:firstLine="2"/>
              <w:jc w:val="left"/>
              <w:rPr>
                <w:rFonts w:cs="Times New Roman"/>
                <w:bCs/>
                <w:kern w:val="0"/>
                <w:sz w:val="24"/>
                <w:szCs w:val="24"/>
              </w:rPr>
            </w:pPr>
            <w:r>
              <w:rPr>
                <w:rFonts w:cs="Times New Roman"/>
                <w:bCs/>
                <w:kern w:val="0"/>
                <w:sz w:val="24"/>
                <w:szCs w:val="24"/>
              </w:rPr>
              <w:t>天府总部商务区</w:t>
            </w:r>
          </w:p>
          <w:p w14:paraId="4FB0C79B" w14:textId="77777777" w:rsidR="001F2B4F" w:rsidRDefault="00000000">
            <w:pPr>
              <w:tabs>
                <w:tab w:val="left" w:pos="307"/>
              </w:tabs>
              <w:overflowPunct w:val="0"/>
              <w:snapToGrid w:val="0"/>
              <w:ind w:firstLineChars="1" w:firstLine="2"/>
              <w:jc w:val="left"/>
              <w:rPr>
                <w:rFonts w:cs="Times New Roman"/>
                <w:bCs/>
                <w:kern w:val="0"/>
                <w:sz w:val="24"/>
                <w:szCs w:val="24"/>
              </w:rPr>
            </w:pPr>
            <w:bookmarkStart w:id="161" w:name="_Hlk92270227"/>
            <w:r>
              <w:rPr>
                <w:rFonts w:cs="Times New Roman"/>
                <w:bCs/>
                <w:kern w:val="0"/>
                <w:sz w:val="24"/>
                <w:szCs w:val="24"/>
              </w:rPr>
              <w:t>中国天府农业博览园</w:t>
            </w:r>
            <w:bookmarkEnd w:id="161"/>
          </w:p>
        </w:tc>
        <w:tc>
          <w:tcPr>
            <w:tcW w:w="5388" w:type="dxa"/>
            <w:tcBorders>
              <w:left w:val="single" w:sz="4" w:space="0" w:color="auto"/>
              <w:right w:val="single" w:sz="4" w:space="0" w:color="auto"/>
            </w:tcBorders>
            <w:vAlign w:val="center"/>
          </w:tcPr>
          <w:p w14:paraId="4BE6654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成都新经济活力区（会展博览）</w:t>
            </w:r>
          </w:p>
          <w:p w14:paraId="60C8BBDF"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安仁·大邑博物馆特色小镇（农业博览）</w:t>
            </w:r>
          </w:p>
        </w:tc>
        <w:tc>
          <w:tcPr>
            <w:tcW w:w="3830" w:type="dxa"/>
            <w:tcBorders>
              <w:left w:val="single" w:sz="4" w:space="0" w:color="auto"/>
            </w:tcBorders>
            <w:vAlign w:val="center"/>
          </w:tcPr>
          <w:p w14:paraId="0FDC3ABF"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重点围绕会展博览、现代农业、智慧农业、乡村振兴等领域培育相关展会活动。</w:t>
            </w:r>
          </w:p>
        </w:tc>
      </w:tr>
      <w:tr w:rsidR="001F2B4F" w14:paraId="166482F1" w14:textId="77777777">
        <w:trPr>
          <w:trHeight w:val="20"/>
          <w:jc w:val="center"/>
        </w:trPr>
        <w:tc>
          <w:tcPr>
            <w:tcW w:w="562" w:type="dxa"/>
            <w:vMerge/>
            <w:tcBorders>
              <w:left w:val="single" w:sz="4" w:space="0" w:color="auto"/>
              <w:right w:val="single" w:sz="4" w:space="0" w:color="auto"/>
            </w:tcBorders>
            <w:vAlign w:val="center"/>
          </w:tcPr>
          <w:p w14:paraId="6EF542FA" w14:textId="77777777" w:rsidR="001F2B4F" w:rsidRDefault="001F2B4F">
            <w:pPr>
              <w:overflowPunct w:val="0"/>
              <w:snapToGrid w:val="0"/>
              <w:jc w:val="center"/>
              <w:rPr>
                <w:rFonts w:cs="Times New Roman"/>
                <w:bCs/>
                <w:kern w:val="0"/>
                <w:sz w:val="24"/>
                <w:szCs w:val="24"/>
              </w:rPr>
            </w:pPr>
          </w:p>
        </w:tc>
        <w:tc>
          <w:tcPr>
            <w:tcW w:w="1274" w:type="dxa"/>
            <w:vMerge/>
            <w:tcBorders>
              <w:left w:val="single" w:sz="4" w:space="0" w:color="auto"/>
              <w:right w:val="single" w:sz="4" w:space="0" w:color="auto"/>
            </w:tcBorders>
            <w:vAlign w:val="center"/>
          </w:tcPr>
          <w:p w14:paraId="52176183"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left w:val="single" w:sz="4" w:space="0" w:color="auto"/>
              <w:right w:val="single" w:sz="4" w:space="0" w:color="auto"/>
            </w:tcBorders>
            <w:vAlign w:val="center"/>
          </w:tcPr>
          <w:p w14:paraId="6604BF9F"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物流业</w:t>
            </w:r>
            <w:proofErr w:type="spellEnd"/>
          </w:p>
        </w:tc>
        <w:tc>
          <w:tcPr>
            <w:tcW w:w="2976" w:type="dxa"/>
            <w:tcBorders>
              <w:top w:val="single" w:sz="4" w:space="0" w:color="auto"/>
              <w:left w:val="single" w:sz="4" w:space="0" w:color="auto"/>
              <w:right w:val="single" w:sz="4" w:space="0" w:color="auto"/>
            </w:tcBorders>
            <w:vAlign w:val="center"/>
          </w:tcPr>
          <w:p w14:paraId="5F381937" w14:textId="77777777" w:rsidR="001F2B4F" w:rsidRDefault="00000000">
            <w:pPr>
              <w:overflowPunct w:val="0"/>
              <w:snapToGrid w:val="0"/>
              <w:ind w:firstLineChars="1" w:firstLine="2"/>
              <w:jc w:val="left"/>
              <w:rPr>
                <w:rFonts w:cs="Times New Roman"/>
                <w:bCs/>
                <w:kern w:val="0"/>
                <w:sz w:val="24"/>
                <w:szCs w:val="24"/>
              </w:rPr>
            </w:pPr>
            <w:r>
              <w:rPr>
                <w:rFonts w:cs="Times New Roman"/>
                <w:bCs/>
                <w:kern w:val="0"/>
                <w:sz w:val="24"/>
                <w:szCs w:val="24"/>
              </w:rPr>
              <w:t>天府国际航空经济区</w:t>
            </w:r>
          </w:p>
          <w:p w14:paraId="062C46C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双流航空经济区</w:t>
            </w:r>
          </w:p>
          <w:p w14:paraId="6BA2D936" w14:textId="77777777" w:rsidR="001F2B4F" w:rsidRDefault="00000000">
            <w:pPr>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成都国际铁路港</w:t>
            </w:r>
            <w:proofErr w:type="spellEnd"/>
          </w:p>
        </w:tc>
        <w:tc>
          <w:tcPr>
            <w:tcW w:w="5388" w:type="dxa"/>
            <w:tcBorders>
              <w:left w:val="single" w:sz="4" w:space="0" w:color="auto"/>
              <w:right w:val="single" w:sz="4" w:space="0" w:color="auto"/>
            </w:tcBorders>
            <w:vAlign w:val="center"/>
          </w:tcPr>
          <w:p w14:paraId="6173E5ED"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简阳临</w:t>
            </w:r>
            <w:proofErr w:type="gramStart"/>
            <w:r>
              <w:rPr>
                <w:rFonts w:cs="Times New Roman" w:hint="eastAsia"/>
                <w:bCs/>
                <w:kern w:val="0"/>
                <w:sz w:val="24"/>
                <w:szCs w:val="24"/>
              </w:rPr>
              <w:t>空经济</w:t>
            </w:r>
            <w:proofErr w:type="gramEnd"/>
            <w:r>
              <w:rPr>
                <w:rFonts w:cs="Times New Roman" w:hint="eastAsia"/>
                <w:bCs/>
                <w:kern w:val="0"/>
                <w:sz w:val="24"/>
                <w:szCs w:val="24"/>
              </w:rPr>
              <w:t>产业园（电商物流及供应链管理）</w:t>
            </w:r>
          </w:p>
          <w:p w14:paraId="364891EF"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龙泉汽车城（保税物流及公路物流）</w:t>
            </w:r>
          </w:p>
        </w:tc>
        <w:tc>
          <w:tcPr>
            <w:tcW w:w="3830" w:type="dxa"/>
            <w:tcBorders>
              <w:left w:val="single" w:sz="4" w:space="0" w:color="auto"/>
            </w:tcBorders>
            <w:vAlign w:val="center"/>
          </w:tcPr>
          <w:p w14:paraId="191359B0"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重点围绕跨境电商、航空物流、智慧物流、仓储配送、供应链等领域培育相关展会活动。</w:t>
            </w:r>
          </w:p>
        </w:tc>
      </w:tr>
      <w:tr w:rsidR="001F2B4F" w14:paraId="4330A168" w14:textId="77777777">
        <w:trPr>
          <w:trHeight w:val="662"/>
          <w:jc w:val="center"/>
        </w:trPr>
        <w:tc>
          <w:tcPr>
            <w:tcW w:w="562" w:type="dxa"/>
            <w:vMerge w:val="restart"/>
            <w:tcBorders>
              <w:left w:val="single" w:sz="4" w:space="0" w:color="auto"/>
              <w:right w:val="single" w:sz="4" w:space="0" w:color="auto"/>
            </w:tcBorders>
            <w:vAlign w:val="center"/>
          </w:tcPr>
          <w:p w14:paraId="29000E66" w14:textId="77777777" w:rsidR="001F2B4F" w:rsidRDefault="00000000">
            <w:pPr>
              <w:overflowPunct w:val="0"/>
              <w:snapToGrid w:val="0"/>
              <w:jc w:val="center"/>
              <w:rPr>
                <w:rFonts w:cs="Times New Roman"/>
                <w:bCs/>
                <w:kern w:val="0"/>
                <w:sz w:val="24"/>
                <w:szCs w:val="24"/>
                <w:lang w:eastAsia="en-US"/>
              </w:rPr>
            </w:pPr>
            <w:r>
              <w:rPr>
                <w:rFonts w:cs="Times New Roman"/>
                <w:bCs/>
                <w:kern w:val="0"/>
                <w:sz w:val="24"/>
                <w:szCs w:val="24"/>
                <w:lang w:eastAsia="en-US"/>
              </w:rPr>
              <w:t>10</w:t>
            </w:r>
          </w:p>
        </w:tc>
        <w:tc>
          <w:tcPr>
            <w:tcW w:w="1274" w:type="dxa"/>
            <w:vMerge w:val="restart"/>
            <w:tcBorders>
              <w:left w:val="single" w:sz="4" w:space="0" w:color="auto"/>
              <w:right w:val="single" w:sz="4" w:space="0" w:color="auto"/>
            </w:tcBorders>
            <w:vAlign w:val="center"/>
          </w:tcPr>
          <w:p w14:paraId="02353766"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新消费产业</w:t>
            </w:r>
            <w:proofErr w:type="spellEnd"/>
          </w:p>
        </w:tc>
        <w:tc>
          <w:tcPr>
            <w:tcW w:w="1277" w:type="dxa"/>
            <w:tcBorders>
              <w:left w:val="single" w:sz="4" w:space="0" w:color="auto"/>
              <w:right w:val="single" w:sz="4" w:space="0" w:color="auto"/>
            </w:tcBorders>
            <w:vAlign w:val="center"/>
          </w:tcPr>
          <w:p w14:paraId="4E9AFD73"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文创业</w:t>
            </w:r>
            <w:proofErr w:type="spellEnd"/>
          </w:p>
        </w:tc>
        <w:tc>
          <w:tcPr>
            <w:tcW w:w="2976" w:type="dxa"/>
            <w:tcBorders>
              <w:top w:val="single" w:sz="4" w:space="0" w:color="auto"/>
              <w:left w:val="single" w:sz="4" w:space="0" w:color="auto"/>
              <w:right w:val="single" w:sz="4" w:space="0" w:color="auto"/>
            </w:tcBorders>
            <w:vAlign w:val="center"/>
          </w:tcPr>
          <w:p w14:paraId="2AFA03DE"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天府数字文创城</w:t>
            </w:r>
          </w:p>
          <w:p w14:paraId="54731305"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少城国际文创谷</w:t>
            </w:r>
          </w:p>
          <w:p w14:paraId="5DAD8992"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bookmarkStart w:id="162" w:name="_Hlk92730682"/>
            <w:proofErr w:type="spellStart"/>
            <w:r>
              <w:rPr>
                <w:rFonts w:cs="Times New Roman"/>
                <w:bCs/>
                <w:kern w:val="0"/>
                <w:sz w:val="24"/>
                <w:szCs w:val="24"/>
                <w:lang w:eastAsia="en-US"/>
              </w:rPr>
              <w:t>东郊记忆艺术区</w:t>
            </w:r>
            <w:bookmarkEnd w:id="162"/>
            <w:proofErr w:type="spellEnd"/>
          </w:p>
        </w:tc>
        <w:tc>
          <w:tcPr>
            <w:tcW w:w="5388" w:type="dxa"/>
            <w:tcBorders>
              <w:left w:val="single" w:sz="4" w:space="0" w:color="auto"/>
              <w:right w:val="single" w:sz="4" w:space="0" w:color="auto"/>
            </w:tcBorders>
            <w:vAlign w:val="center"/>
          </w:tcPr>
          <w:p w14:paraId="65838F50"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成都影视城（影视文创）</w:t>
            </w:r>
          </w:p>
          <w:p w14:paraId="031DD1C6"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三国创意设计产业功能区（创意设计）</w:t>
            </w:r>
          </w:p>
          <w:p w14:paraId="2A054703"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安仁·大邑博物馆特色小镇（文博体验）</w:t>
            </w:r>
          </w:p>
        </w:tc>
        <w:tc>
          <w:tcPr>
            <w:tcW w:w="3830" w:type="dxa"/>
            <w:tcBorders>
              <w:left w:val="single" w:sz="4" w:space="0" w:color="auto"/>
            </w:tcBorders>
            <w:vAlign w:val="center"/>
          </w:tcPr>
          <w:p w14:paraId="27820CC5" w14:textId="77777777" w:rsidR="001F2B4F" w:rsidRDefault="00000000">
            <w:pPr>
              <w:overflowPunct w:val="0"/>
              <w:adjustRightInd w:val="0"/>
              <w:snapToGrid w:val="0"/>
              <w:ind w:firstLineChars="1" w:firstLine="2"/>
              <w:rPr>
                <w:rFonts w:cs="Times New Roman"/>
                <w:bCs/>
                <w:kern w:val="0"/>
                <w:sz w:val="24"/>
                <w:szCs w:val="24"/>
              </w:rPr>
            </w:pPr>
            <w:r>
              <w:rPr>
                <w:rFonts w:cs="Times New Roman" w:hint="eastAsia"/>
                <w:bCs/>
                <w:kern w:val="0"/>
                <w:sz w:val="24"/>
                <w:szCs w:val="24"/>
              </w:rPr>
              <w:t>重点围绕时尚艺术、创意设计、文化博览、影视制作、建筑设计等领域培育相关展会活动。</w:t>
            </w:r>
          </w:p>
        </w:tc>
      </w:tr>
      <w:tr w:rsidR="001F2B4F" w14:paraId="746BABFC" w14:textId="77777777">
        <w:trPr>
          <w:trHeight w:val="20"/>
          <w:jc w:val="center"/>
        </w:trPr>
        <w:tc>
          <w:tcPr>
            <w:tcW w:w="562" w:type="dxa"/>
            <w:vMerge/>
            <w:tcBorders>
              <w:left w:val="single" w:sz="4" w:space="0" w:color="auto"/>
              <w:right w:val="single" w:sz="4" w:space="0" w:color="auto"/>
            </w:tcBorders>
            <w:vAlign w:val="center"/>
          </w:tcPr>
          <w:p w14:paraId="3BACE354" w14:textId="77777777" w:rsidR="001F2B4F" w:rsidRDefault="001F2B4F">
            <w:pPr>
              <w:overflowPunct w:val="0"/>
              <w:snapToGrid w:val="0"/>
              <w:jc w:val="center"/>
              <w:rPr>
                <w:rFonts w:cs="Times New Roman"/>
                <w:bCs/>
                <w:kern w:val="0"/>
                <w:sz w:val="24"/>
                <w:szCs w:val="24"/>
              </w:rPr>
            </w:pPr>
          </w:p>
        </w:tc>
        <w:tc>
          <w:tcPr>
            <w:tcW w:w="1274" w:type="dxa"/>
            <w:vMerge/>
            <w:tcBorders>
              <w:left w:val="single" w:sz="4" w:space="0" w:color="auto"/>
              <w:right w:val="single" w:sz="4" w:space="0" w:color="auto"/>
            </w:tcBorders>
            <w:vAlign w:val="center"/>
          </w:tcPr>
          <w:p w14:paraId="7299F178"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left w:val="single" w:sz="4" w:space="0" w:color="auto"/>
              <w:right w:val="single" w:sz="4" w:space="0" w:color="auto"/>
            </w:tcBorders>
            <w:vAlign w:val="center"/>
          </w:tcPr>
          <w:p w14:paraId="16D16E46" w14:textId="77777777" w:rsidR="001F2B4F" w:rsidRDefault="00000000">
            <w:pPr>
              <w:overflowPunct w:val="0"/>
              <w:snapToGrid w:val="0"/>
              <w:ind w:firstLineChars="1" w:firstLine="2"/>
              <w:jc w:val="center"/>
              <w:rPr>
                <w:rFonts w:cs="Times New Roman"/>
                <w:bCs/>
                <w:kern w:val="0"/>
                <w:sz w:val="24"/>
                <w:szCs w:val="24"/>
                <w:lang w:eastAsia="en-US"/>
              </w:rPr>
            </w:pPr>
            <w:proofErr w:type="spellStart"/>
            <w:r>
              <w:rPr>
                <w:rFonts w:cs="Times New Roman"/>
                <w:bCs/>
                <w:kern w:val="0"/>
                <w:sz w:val="24"/>
                <w:szCs w:val="24"/>
                <w:lang w:eastAsia="en-US"/>
              </w:rPr>
              <w:t>旅游业</w:t>
            </w:r>
            <w:proofErr w:type="spellEnd"/>
          </w:p>
        </w:tc>
        <w:tc>
          <w:tcPr>
            <w:tcW w:w="2976" w:type="dxa"/>
            <w:tcBorders>
              <w:top w:val="single" w:sz="4" w:space="0" w:color="auto"/>
              <w:left w:val="single" w:sz="4" w:space="0" w:color="auto"/>
              <w:right w:val="single" w:sz="4" w:space="0" w:color="auto"/>
            </w:tcBorders>
            <w:vAlign w:val="center"/>
          </w:tcPr>
          <w:p w14:paraId="7B8039A2"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李</w:t>
            </w:r>
            <w:proofErr w:type="gramStart"/>
            <w:r>
              <w:rPr>
                <w:rFonts w:cs="Times New Roman"/>
                <w:bCs/>
                <w:kern w:val="0"/>
                <w:sz w:val="24"/>
                <w:szCs w:val="24"/>
              </w:rPr>
              <w:t>冰文化</w:t>
            </w:r>
            <w:proofErr w:type="gramEnd"/>
            <w:r>
              <w:rPr>
                <w:rFonts w:cs="Times New Roman"/>
                <w:bCs/>
                <w:kern w:val="0"/>
                <w:sz w:val="24"/>
                <w:szCs w:val="24"/>
              </w:rPr>
              <w:t>创意旅游产业功能区</w:t>
            </w:r>
          </w:p>
          <w:p w14:paraId="013003A0" w14:textId="77777777" w:rsidR="001F2B4F" w:rsidRDefault="00000000">
            <w:pPr>
              <w:overflowPunct w:val="0"/>
              <w:snapToGrid w:val="0"/>
              <w:ind w:firstLineChars="1" w:firstLine="2"/>
              <w:jc w:val="left"/>
              <w:rPr>
                <w:rFonts w:cs="Times New Roman"/>
                <w:bCs/>
                <w:kern w:val="0"/>
                <w:sz w:val="24"/>
                <w:szCs w:val="24"/>
              </w:rPr>
            </w:pPr>
            <w:r>
              <w:rPr>
                <w:rFonts w:cs="Times New Roman"/>
                <w:bCs/>
                <w:kern w:val="0"/>
                <w:sz w:val="24"/>
                <w:szCs w:val="24"/>
              </w:rPr>
              <w:t>成都熊猫国际旅游度假区</w:t>
            </w:r>
          </w:p>
          <w:p w14:paraId="2A07C9B3"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lastRenderedPageBreak/>
              <w:t>西岭雪山文体装备功能区</w:t>
            </w:r>
          </w:p>
          <w:p w14:paraId="07D190D4"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bCs/>
                <w:kern w:val="0"/>
                <w:sz w:val="24"/>
                <w:szCs w:val="24"/>
              </w:rPr>
              <w:t>安仁</w:t>
            </w:r>
            <w:r>
              <w:rPr>
                <w:rFonts w:cs="Times New Roman"/>
                <w:bCs/>
                <w:spacing w:val="-16"/>
                <w:kern w:val="0"/>
                <w:sz w:val="24"/>
                <w:szCs w:val="24"/>
              </w:rPr>
              <w:t>·</w:t>
            </w:r>
            <w:r>
              <w:rPr>
                <w:rFonts w:cs="Times New Roman"/>
                <w:bCs/>
                <w:kern w:val="0"/>
                <w:sz w:val="24"/>
                <w:szCs w:val="24"/>
              </w:rPr>
              <w:t>大邑博物馆特色小镇</w:t>
            </w:r>
          </w:p>
          <w:p w14:paraId="0DADC7DC"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春熙路时尚活力区</w:t>
            </w:r>
            <w:proofErr w:type="spellEnd"/>
          </w:p>
        </w:tc>
        <w:tc>
          <w:tcPr>
            <w:tcW w:w="5388" w:type="dxa"/>
            <w:tcBorders>
              <w:left w:val="single" w:sz="4" w:space="0" w:color="auto"/>
              <w:right w:val="single" w:sz="4" w:space="0" w:color="auto"/>
            </w:tcBorders>
            <w:vAlign w:val="center"/>
          </w:tcPr>
          <w:p w14:paraId="5ED8EC8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lastRenderedPageBreak/>
              <w:t>龙门山</w:t>
            </w:r>
            <w:proofErr w:type="gramStart"/>
            <w:r>
              <w:rPr>
                <w:rFonts w:cs="Times New Roman" w:hint="eastAsia"/>
                <w:bCs/>
                <w:kern w:val="0"/>
                <w:sz w:val="24"/>
                <w:szCs w:val="24"/>
              </w:rPr>
              <w:t>湔</w:t>
            </w:r>
            <w:proofErr w:type="gramEnd"/>
            <w:r>
              <w:rPr>
                <w:rFonts w:cs="Times New Roman" w:hint="eastAsia"/>
                <w:bCs/>
                <w:kern w:val="0"/>
                <w:sz w:val="24"/>
                <w:szCs w:val="24"/>
              </w:rPr>
              <w:t>江河谷生态旅游区（山地运动）</w:t>
            </w:r>
          </w:p>
          <w:p w14:paraId="42F779BC"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天府奥体公园（</w:t>
            </w:r>
            <w:proofErr w:type="gramStart"/>
            <w:r>
              <w:rPr>
                <w:rFonts w:cs="Times New Roman" w:hint="eastAsia"/>
                <w:bCs/>
                <w:kern w:val="0"/>
                <w:sz w:val="24"/>
                <w:szCs w:val="24"/>
              </w:rPr>
              <w:t>体育文旅消费</w:t>
            </w:r>
            <w:proofErr w:type="gramEnd"/>
            <w:r>
              <w:rPr>
                <w:rFonts w:cs="Times New Roman" w:hint="eastAsia"/>
                <w:bCs/>
                <w:kern w:val="0"/>
                <w:sz w:val="24"/>
                <w:szCs w:val="24"/>
              </w:rPr>
              <w:t>）</w:t>
            </w:r>
          </w:p>
          <w:p w14:paraId="2B05EC6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交子公园金融商务区（国际时尚消费）</w:t>
            </w:r>
          </w:p>
          <w:p w14:paraId="1D49F8DE"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lastRenderedPageBreak/>
              <w:t>荷花</w:t>
            </w:r>
            <w:proofErr w:type="gramStart"/>
            <w:r>
              <w:rPr>
                <w:rFonts w:cs="Times New Roman" w:hint="eastAsia"/>
                <w:bCs/>
                <w:kern w:val="0"/>
                <w:sz w:val="24"/>
                <w:szCs w:val="24"/>
              </w:rPr>
              <w:t>池国际</w:t>
            </w:r>
            <w:proofErr w:type="gramEnd"/>
            <w:r>
              <w:rPr>
                <w:rFonts w:cs="Times New Roman" w:hint="eastAsia"/>
                <w:bCs/>
                <w:kern w:val="0"/>
                <w:sz w:val="24"/>
                <w:szCs w:val="24"/>
              </w:rPr>
              <w:t>商贸城（</w:t>
            </w:r>
            <w:proofErr w:type="gramStart"/>
            <w:r>
              <w:rPr>
                <w:rFonts w:cs="Times New Roman" w:hint="eastAsia"/>
                <w:bCs/>
                <w:kern w:val="0"/>
                <w:sz w:val="24"/>
                <w:szCs w:val="24"/>
              </w:rPr>
              <w:t>蓉北商</w:t>
            </w:r>
            <w:proofErr w:type="gramEnd"/>
            <w:r>
              <w:rPr>
                <w:rFonts w:cs="Times New Roman" w:hint="eastAsia"/>
                <w:bCs/>
                <w:kern w:val="0"/>
                <w:sz w:val="24"/>
                <w:szCs w:val="24"/>
              </w:rPr>
              <w:t>圈）</w:t>
            </w:r>
          </w:p>
          <w:p w14:paraId="39DD15E5" w14:textId="77777777" w:rsidR="001F2B4F" w:rsidRDefault="00000000">
            <w:pPr>
              <w:tabs>
                <w:tab w:val="left" w:pos="307"/>
              </w:tabs>
              <w:overflowPunct w:val="0"/>
              <w:snapToGrid w:val="0"/>
              <w:ind w:firstLineChars="1" w:firstLine="2"/>
              <w:jc w:val="left"/>
              <w:rPr>
                <w:rFonts w:cs="Times New Roman"/>
                <w:bCs/>
                <w:kern w:val="0"/>
                <w:sz w:val="24"/>
                <w:szCs w:val="24"/>
              </w:rPr>
            </w:pPr>
            <w:proofErr w:type="gramStart"/>
            <w:r>
              <w:rPr>
                <w:rFonts w:cs="Times New Roman" w:hint="eastAsia"/>
                <w:bCs/>
                <w:kern w:val="0"/>
                <w:sz w:val="24"/>
                <w:szCs w:val="24"/>
              </w:rPr>
              <w:t>她妆美谷</w:t>
            </w:r>
            <w:proofErr w:type="gramEnd"/>
            <w:r>
              <w:rPr>
                <w:rFonts w:cs="Times New Roman" w:hint="eastAsia"/>
                <w:bCs/>
                <w:kern w:val="0"/>
                <w:sz w:val="24"/>
                <w:szCs w:val="24"/>
              </w:rPr>
              <w:t>（新零售和流量经济）</w:t>
            </w:r>
          </w:p>
          <w:p w14:paraId="719DC356"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成北新消费活力区（潮流消费）</w:t>
            </w:r>
          </w:p>
        </w:tc>
        <w:tc>
          <w:tcPr>
            <w:tcW w:w="3830" w:type="dxa"/>
            <w:tcBorders>
              <w:left w:val="single" w:sz="4" w:space="0" w:color="auto"/>
            </w:tcBorders>
            <w:vAlign w:val="center"/>
          </w:tcPr>
          <w:p w14:paraId="4C5BAF94"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lastRenderedPageBreak/>
              <w:t>重点围绕高端消费、休闲度假、文体装备、新零售、服饰美妆、电商直播等领域培育相关展会活动。</w:t>
            </w:r>
          </w:p>
        </w:tc>
      </w:tr>
      <w:tr w:rsidR="001F2B4F" w14:paraId="59994D3D" w14:textId="77777777">
        <w:trPr>
          <w:trHeight w:val="20"/>
          <w:jc w:val="center"/>
        </w:trPr>
        <w:tc>
          <w:tcPr>
            <w:tcW w:w="562" w:type="dxa"/>
            <w:vMerge/>
            <w:tcBorders>
              <w:left w:val="single" w:sz="4" w:space="0" w:color="auto"/>
              <w:right w:val="single" w:sz="4" w:space="0" w:color="auto"/>
            </w:tcBorders>
            <w:vAlign w:val="center"/>
          </w:tcPr>
          <w:p w14:paraId="61B1DFFA" w14:textId="77777777" w:rsidR="001F2B4F" w:rsidRDefault="001F2B4F">
            <w:pPr>
              <w:overflowPunct w:val="0"/>
              <w:snapToGrid w:val="0"/>
              <w:jc w:val="center"/>
              <w:rPr>
                <w:rFonts w:cs="Times New Roman"/>
                <w:bCs/>
                <w:kern w:val="0"/>
                <w:sz w:val="24"/>
                <w:szCs w:val="24"/>
              </w:rPr>
            </w:pPr>
          </w:p>
        </w:tc>
        <w:tc>
          <w:tcPr>
            <w:tcW w:w="1274" w:type="dxa"/>
            <w:vMerge/>
            <w:tcBorders>
              <w:left w:val="single" w:sz="4" w:space="0" w:color="auto"/>
              <w:right w:val="single" w:sz="4" w:space="0" w:color="auto"/>
            </w:tcBorders>
            <w:vAlign w:val="center"/>
          </w:tcPr>
          <w:p w14:paraId="7FEA565A"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left w:val="single" w:sz="4" w:space="0" w:color="auto"/>
              <w:right w:val="single" w:sz="4" w:space="0" w:color="auto"/>
            </w:tcBorders>
            <w:vAlign w:val="center"/>
          </w:tcPr>
          <w:p w14:paraId="5BFFC769" w14:textId="77777777" w:rsidR="001F2B4F" w:rsidRDefault="00000000">
            <w:pPr>
              <w:overflowPunct w:val="0"/>
              <w:snapToGrid w:val="0"/>
              <w:ind w:firstLineChars="1" w:firstLine="2"/>
              <w:jc w:val="center"/>
              <w:rPr>
                <w:rFonts w:cs="Times New Roman"/>
                <w:bCs/>
                <w:kern w:val="0"/>
                <w:sz w:val="24"/>
                <w:szCs w:val="24"/>
              </w:rPr>
            </w:pPr>
            <w:r>
              <w:rPr>
                <w:rFonts w:cs="Times New Roman" w:hint="eastAsia"/>
                <w:bCs/>
                <w:kern w:val="0"/>
                <w:sz w:val="24"/>
                <w:szCs w:val="24"/>
              </w:rPr>
              <w:t>现代商贸</w:t>
            </w:r>
          </w:p>
        </w:tc>
        <w:tc>
          <w:tcPr>
            <w:tcW w:w="2976" w:type="dxa"/>
            <w:tcBorders>
              <w:top w:val="single" w:sz="4" w:space="0" w:color="auto"/>
              <w:left w:val="single" w:sz="4" w:space="0" w:color="auto"/>
              <w:right w:val="single" w:sz="4" w:space="0" w:color="auto"/>
            </w:tcBorders>
            <w:vAlign w:val="center"/>
          </w:tcPr>
          <w:p w14:paraId="7E91E5C7" w14:textId="77777777" w:rsidR="001F2B4F" w:rsidRDefault="00000000">
            <w:pPr>
              <w:tabs>
                <w:tab w:val="left" w:pos="307"/>
              </w:tabs>
              <w:overflowPunct w:val="0"/>
              <w:snapToGrid w:val="0"/>
              <w:ind w:firstLineChars="1" w:firstLine="2"/>
              <w:jc w:val="left"/>
              <w:rPr>
                <w:rFonts w:cs="Times New Roman"/>
                <w:bCs/>
                <w:kern w:val="0"/>
                <w:sz w:val="24"/>
                <w:szCs w:val="24"/>
              </w:rPr>
            </w:pPr>
            <w:proofErr w:type="spellStart"/>
            <w:r>
              <w:rPr>
                <w:rFonts w:cs="Times New Roman"/>
                <w:bCs/>
                <w:kern w:val="0"/>
                <w:sz w:val="24"/>
                <w:szCs w:val="24"/>
                <w:lang w:eastAsia="en-US"/>
              </w:rPr>
              <w:t>春熙路时尚活力区</w:t>
            </w:r>
            <w:proofErr w:type="spellEnd"/>
            <w:r>
              <w:rPr>
                <w:rFonts w:cs="Times New Roman" w:hint="eastAsia"/>
                <w:bCs/>
                <w:kern w:val="0"/>
                <w:sz w:val="24"/>
                <w:szCs w:val="24"/>
              </w:rPr>
              <w:t>等</w:t>
            </w:r>
          </w:p>
        </w:tc>
        <w:tc>
          <w:tcPr>
            <w:tcW w:w="5388" w:type="dxa"/>
            <w:tcBorders>
              <w:left w:val="single" w:sz="4" w:space="0" w:color="auto"/>
              <w:right w:val="single" w:sz="4" w:space="0" w:color="auto"/>
            </w:tcBorders>
            <w:vAlign w:val="center"/>
          </w:tcPr>
          <w:p w14:paraId="3E28ECF1"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成北新消费活力区等</w:t>
            </w:r>
          </w:p>
        </w:tc>
        <w:tc>
          <w:tcPr>
            <w:tcW w:w="3830" w:type="dxa"/>
            <w:tcBorders>
              <w:left w:val="single" w:sz="4" w:space="0" w:color="auto"/>
            </w:tcBorders>
            <w:vAlign w:val="center"/>
          </w:tcPr>
          <w:p w14:paraId="4316B7E3"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重点围绕新零售、数字贸易、跨境电商等领域培育相关展会活动。</w:t>
            </w:r>
          </w:p>
        </w:tc>
      </w:tr>
      <w:tr w:rsidR="001F2B4F" w14:paraId="156B3AA8" w14:textId="77777777">
        <w:trPr>
          <w:trHeight w:val="1109"/>
          <w:jc w:val="center"/>
        </w:trPr>
        <w:tc>
          <w:tcPr>
            <w:tcW w:w="562" w:type="dxa"/>
            <w:vMerge w:val="restart"/>
            <w:tcBorders>
              <w:left w:val="single" w:sz="4" w:space="0" w:color="auto"/>
              <w:right w:val="single" w:sz="4" w:space="0" w:color="auto"/>
            </w:tcBorders>
            <w:vAlign w:val="center"/>
          </w:tcPr>
          <w:p w14:paraId="69350BD4" w14:textId="77777777" w:rsidR="001F2B4F" w:rsidRDefault="00000000">
            <w:pPr>
              <w:overflowPunct w:val="0"/>
              <w:snapToGrid w:val="0"/>
              <w:jc w:val="center"/>
              <w:rPr>
                <w:rFonts w:cs="Times New Roman"/>
                <w:bCs/>
                <w:kern w:val="0"/>
                <w:sz w:val="24"/>
                <w:szCs w:val="24"/>
                <w:lang w:eastAsia="en-US"/>
              </w:rPr>
            </w:pPr>
            <w:r>
              <w:rPr>
                <w:rFonts w:cs="Times New Roman"/>
                <w:bCs/>
                <w:kern w:val="0"/>
                <w:sz w:val="24"/>
                <w:szCs w:val="24"/>
                <w:lang w:eastAsia="en-US"/>
              </w:rPr>
              <w:t>11</w:t>
            </w:r>
          </w:p>
        </w:tc>
        <w:tc>
          <w:tcPr>
            <w:tcW w:w="1274" w:type="dxa"/>
            <w:vMerge w:val="restart"/>
            <w:tcBorders>
              <w:left w:val="single" w:sz="4" w:space="0" w:color="auto"/>
              <w:right w:val="single" w:sz="4" w:space="0" w:color="auto"/>
            </w:tcBorders>
            <w:vAlign w:val="center"/>
          </w:tcPr>
          <w:p w14:paraId="3313A8B8" w14:textId="77777777" w:rsidR="001F2B4F" w:rsidRDefault="00000000">
            <w:pPr>
              <w:overflowPunct w:val="0"/>
              <w:snapToGrid w:val="0"/>
              <w:ind w:firstLineChars="1" w:firstLine="2"/>
              <w:jc w:val="center"/>
              <w:rPr>
                <w:rFonts w:cs="Times New Roman"/>
                <w:bCs/>
                <w:kern w:val="0"/>
                <w:sz w:val="24"/>
                <w:szCs w:val="24"/>
                <w:lang w:eastAsia="en-US"/>
              </w:rPr>
            </w:pPr>
            <w:r>
              <w:rPr>
                <w:rFonts w:cs="Times New Roman"/>
                <w:bCs/>
                <w:kern w:val="0"/>
                <w:sz w:val="24"/>
                <w:szCs w:val="24"/>
                <w:lang w:eastAsia="en-US"/>
              </w:rPr>
              <w:t>都市农业和食品</w:t>
            </w:r>
          </w:p>
        </w:tc>
        <w:tc>
          <w:tcPr>
            <w:tcW w:w="1277" w:type="dxa"/>
            <w:tcBorders>
              <w:left w:val="single" w:sz="4" w:space="0" w:color="auto"/>
              <w:right w:val="single" w:sz="4" w:space="0" w:color="auto"/>
            </w:tcBorders>
            <w:vAlign w:val="center"/>
          </w:tcPr>
          <w:p w14:paraId="143C797B" w14:textId="77777777" w:rsidR="001F2B4F" w:rsidRDefault="00000000">
            <w:pPr>
              <w:overflowPunct w:val="0"/>
              <w:snapToGrid w:val="0"/>
              <w:ind w:firstLineChars="1" w:firstLine="2"/>
              <w:jc w:val="center"/>
              <w:rPr>
                <w:rFonts w:cs="Times New Roman"/>
                <w:bCs/>
                <w:kern w:val="0"/>
                <w:sz w:val="24"/>
                <w:szCs w:val="24"/>
                <w:lang w:eastAsia="en-US"/>
              </w:rPr>
            </w:pPr>
            <w:r>
              <w:rPr>
                <w:rFonts w:cs="Times New Roman"/>
                <w:bCs/>
                <w:kern w:val="0"/>
                <w:sz w:val="24"/>
                <w:szCs w:val="24"/>
                <w:lang w:eastAsia="en-US"/>
              </w:rPr>
              <w:t>现代种业</w:t>
            </w:r>
          </w:p>
        </w:tc>
        <w:tc>
          <w:tcPr>
            <w:tcW w:w="2976" w:type="dxa"/>
            <w:tcBorders>
              <w:top w:val="single" w:sz="4" w:space="0" w:color="auto"/>
              <w:left w:val="single" w:sz="4" w:space="0" w:color="auto"/>
              <w:bottom w:val="single" w:sz="4" w:space="0" w:color="auto"/>
              <w:right w:val="single" w:sz="4" w:space="0" w:color="auto"/>
            </w:tcBorders>
            <w:vAlign w:val="center"/>
          </w:tcPr>
          <w:p w14:paraId="6F0D26F7"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proofErr w:type="spellStart"/>
            <w:r>
              <w:rPr>
                <w:rFonts w:cs="Times New Roman"/>
                <w:bCs/>
                <w:kern w:val="0"/>
                <w:sz w:val="24"/>
                <w:szCs w:val="24"/>
                <w:lang w:eastAsia="en-US"/>
              </w:rPr>
              <w:t>天府现代种业园</w:t>
            </w:r>
            <w:proofErr w:type="spellEnd"/>
          </w:p>
        </w:tc>
        <w:tc>
          <w:tcPr>
            <w:tcW w:w="5388" w:type="dxa"/>
            <w:vMerge w:val="restart"/>
            <w:tcBorders>
              <w:left w:val="single" w:sz="4" w:space="0" w:color="auto"/>
              <w:right w:val="single" w:sz="4" w:space="0" w:color="auto"/>
            </w:tcBorders>
            <w:vAlign w:val="center"/>
          </w:tcPr>
          <w:p w14:paraId="669CD647"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青城山旅游装备产业功能区（休闲食品及饮料）</w:t>
            </w:r>
          </w:p>
          <w:p w14:paraId="29D54812"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天府</w:t>
            </w:r>
            <w:proofErr w:type="gramStart"/>
            <w:r>
              <w:rPr>
                <w:rFonts w:cs="Times New Roman" w:hint="eastAsia"/>
                <w:bCs/>
                <w:kern w:val="0"/>
                <w:sz w:val="24"/>
                <w:szCs w:val="24"/>
              </w:rPr>
              <w:t>农创园</w:t>
            </w:r>
            <w:proofErr w:type="gramEnd"/>
            <w:r>
              <w:rPr>
                <w:rFonts w:cs="Times New Roman" w:hint="eastAsia"/>
                <w:bCs/>
                <w:kern w:val="0"/>
                <w:sz w:val="24"/>
                <w:szCs w:val="24"/>
              </w:rPr>
              <w:t>（特色水果研发培育）</w:t>
            </w:r>
          </w:p>
          <w:p w14:paraId="763AB20D"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崇州都市农业产业功能区（优质粮油科研服务）</w:t>
            </w:r>
          </w:p>
          <w:p w14:paraId="44CDA2EB"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简阳临</w:t>
            </w:r>
            <w:proofErr w:type="gramStart"/>
            <w:r>
              <w:rPr>
                <w:rFonts w:cs="Times New Roman" w:hint="eastAsia"/>
                <w:bCs/>
                <w:kern w:val="0"/>
                <w:sz w:val="24"/>
                <w:szCs w:val="24"/>
              </w:rPr>
              <w:t>空经济</w:t>
            </w:r>
            <w:proofErr w:type="gramEnd"/>
            <w:r>
              <w:rPr>
                <w:rFonts w:cs="Times New Roman" w:hint="eastAsia"/>
                <w:bCs/>
                <w:kern w:val="0"/>
                <w:sz w:val="24"/>
                <w:szCs w:val="24"/>
              </w:rPr>
              <w:t>产业园（绿色食品）</w:t>
            </w:r>
          </w:p>
          <w:p w14:paraId="1FEFF780"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西岭雪山文体装备功能区（运动食品饮料）</w:t>
            </w:r>
          </w:p>
          <w:p w14:paraId="53F6B314"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成都现代农业装备产业园（农业装备及绿色食品）</w:t>
            </w:r>
          </w:p>
          <w:p w14:paraId="3A40EE57"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中国天府农业博览园（绿色食品）</w:t>
            </w:r>
          </w:p>
          <w:p w14:paraId="680464E8" w14:textId="77777777" w:rsidR="001F2B4F" w:rsidRDefault="00000000">
            <w:pPr>
              <w:tabs>
                <w:tab w:val="left" w:pos="307"/>
              </w:tabs>
              <w:overflowPunct w:val="0"/>
              <w:snapToGrid w:val="0"/>
              <w:ind w:firstLineChars="1" w:firstLine="2"/>
              <w:jc w:val="left"/>
              <w:rPr>
                <w:rFonts w:cs="Times New Roman"/>
                <w:bCs/>
                <w:kern w:val="0"/>
                <w:sz w:val="24"/>
                <w:szCs w:val="24"/>
              </w:rPr>
            </w:pPr>
            <w:r>
              <w:rPr>
                <w:rFonts w:cs="Times New Roman" w:hint="eastAsia"/>
                <w:bCs/>
                <w:kern w:val="0"/>
                <w:sz w:val="24"/>
                <w:szCs w:val="24"/>
              </w:rPr>
              <w:t>温江国家农业科技园区（农业科技）</w:t>
            </w:r>
          </w:p>
        </w:tc>
        <w:tc>
          <w:tcPr>
            <w:tcW w:w="3830" w:type="dxa"/>
            <w:vMerge w:val="restart"/>
            <w:tcBorders>
              <w:left w:val="single" w:sz="4" w:space="0" w:color="auto"/>
            </w:tcBorders>
            <w:vAlign w:val="center"/>
          </w:tcPr>
          <w:p w14:paraId="0BA0084D" w14:textId="77777777" w:rsidR="001F2B4F" w:rsidRDefault="00000000">
            <w:pPr>
              <w:tabs>
                <w:tab w:val="left" w:pos="307"/>
              </w:tabs>
              <w:overflowPunct w:val="0"/>
              <w:snapToGrid w:val="0"/>
              <w:ind w:firstLineChars="1" w:firstLine="2"/>
              <w:rPr>
                <w:rFonts w:cs="Times New Roman"/>
                <w:bCs/>
                <w:kern w:val="0"/>
                <w:sz w:val="24"/>
                <w:szCs w:val="24"/>
              </w:rPr>
            </w:pPr>
            <w:r>
              <w:rPr>
                <w:rFonts w:cs="Times New Roman" w:hint="eastAsia"/>
                <w:bCs/>
                <w:kern w:val="0"/>
                <w:sz w:val="24"/>
                <w:szCs w:val="24"/>
              </w:rPr>
              <w:t>重点围绕现代种业、川菜展示、花木展贸、休闲食品、农业产品、农业装备、农业科技、农业观光等领域培育相关展会活动。</w:t>
            </w:r>
          </w:p>
        </w:tc>
      </w:tr>
      <w:tr w:rsidR="001F2B4F" w14:paraId="4B1CE614" w14:textId="77777777">
        <w:trPr>
          <w:trHeight w:val="20"/>
          <w:jc w:val="center"/>
        </w:trPr>
        <w:tc>
          <w:tcPr>
            <w:tcW w:w="562" w:type="dxa"/>
            <w:vMerge/>
            <w:tcBorders>
              <w:left w:val="single" w:sz="4" w:space="0" w:color="auto"/>
              <w:right w:val="single" w:sz="4" w:space="0" w:color="auto"/>
            </w:tcBorders>
            <w:vAlign w:val="center"/>
          </w:tcPr>
          <w:p w14:paraId="4DB5F9D9" w14:textId="77777777" w:rsidR="001F2B4F" w:rsidRDefault="001F2B4F">
            <w:pPr>
              <w:overflowPunct w:val="0"/>
              <w:snapToGrid w:val="0"/>
              <w:jc w:val="center"/>
              <w:rPr>
                <w:rFonts w:cs="Times New Roman"/>
                <w:bCs/>
                <w:kern w:val="0"/>
                <w:sz w:val="24"/>
                <w:szCs w:val="24"/>
              </w:rPr>
            </w:pPr>
          </w:p>
        </w:tc>
        <w:tc>
          <w:tcPr>
            <w:tcW w:w="1274" w:type="dxa"/>
            <w:vMerge/>
            <w:tcBorders>
              <w:left w:val="single" w:sz="4" w:space="0" w:color="auto"/>
              <w:right w:val="single" w:sz="4" w:space="0" w:color="auto"/>
            </w:tcBorders>
            <w:vAlign w:val="center"/>
          </w:tcPr>
          <w:p w14:paraId="593EEA39" w14:textId="77777777" w:rsidR="001F2B4F" w:rsidRDefault="001F2B4F">
            <w:pPr>
              <w:overflowPunct w:val="0"/>
              <w:snapToGrid w:val="0"/>
              <w:ind w:firstLineChars="1" w:firstLine="2"/>
              <w:jc w:val="center"/>
              <w:rPr>
                <w:rFonts w:cs="Times New Roman"/>
                <w:bCs/>
                <w:kern w:val="0"/>
                <w:sz w:val="24"/>
                <w:szCs w:val="24"/>
              </w:rPr>
            </w:pPr>
          </w:p>
        </w:tc>
        <w:tc>
          <w:tcPr>
            <w:tcW w:w="1277" w:type="dxa"/>
            <w:tcBorders>
              <w:left w:val="single" w:sz="4" w:space="0" w:color="auto"/>
              <w:right w:val="single" w:sz="4" w:space="0" w:color="auto"/>
            </w:tcBorders>
            <w:vAlign w:val="center"/>
          </w:tcPr>
          <w:p w14:paraId="5DAC783A" w14:textId="77777777" w:rsidR="001F2B4F" w:rsidRDefault="00000000">
            <w:pPr>
              <w:overflowPunct w:val="0"/>
              <w:snapToGrid w:val="0"/>
              <w:ind w:firstLineChars="1" w:firstLine="2"/>
              <w:jc w:val="center"/>
              <w:rPr>
                <w:rFonts w:cs="Times New Roman"/>
                <w:bCs/>
                <w:kern w:val="0"/>
                <w:sz w:val="24"/>
                <w:szCs w:val="24"/>
                <w:lang w:eastAsia="en-US"/>
              </w:rPr>
            </w:pPr>
            <w:r>
              <w:rPr>
                <w:rFonts w:cs="Times New Roman"/>
                <w:bCs/>
                <w:kern w:val="0"/>
                <w:sz w:val="24"/>
                <w:szCs w:val="24"/>
                <w:lang w:eastAsia="en-US"/>
              </w:rPr>
              <w:t>绿色食品</w:t>
            </w:r>
          </w:p>
        </w:tc>
        <w:tc>
          <w:tcPr>
            <w:tcW w:w="2976" w:type="dxa"/>
            <w:tcBorders>
              <w:top w:val="single" w:sz="4" w:space="0" w:color="auto"/>
              <w:left w:val="single" w:sz="4" w:space="0" w:color="auto"/>
              <w:bottom w:val="single" w:sz="4" w:space="0" w:color="auto"/>
              <w:right w:val="single" w:sz="4" w:space="0" w:color="auto"/>
            </w:tcBorders>
            <w:vAlign w:val="center"/>
          </w:tcPr>
          <w:p w14:paraId="3C8D3C03"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r>
              <w:rPr>
                <w:rFonts w:cs="Times New Roman"/>
                <w:bCs/>
                <w:kern w:val="0"/>
                <w:sz w:val="24"/>
                <w:szCs w:val="24"/>
                <w:lang w:eastAsia="en-US"/>
              </w:rPr>
              <w:t>中国川菜产业城</w:t>
            </w:r>
          </w:p>
        </w:tc>
        <w:tc>
          <w:tcPr>
            <w:tcW w:w="5388" w:type="dxa"/>
            <w:vMerge/>
            <w:tcBorders>
              <w:left w:val="single" w:sz="4" w:space="0" w:color="auto"/>
              <w:right w:val="single" w:sz="4" w:space="0" w:color="auto"/>
            </w:tcBorders>
            <w:vAlign w:val="center"/>
          </w:tcPr>
          <w:p w14:paraId="11440AFF" w14:textId="77777777" w:rsidR="001F2B4F" w:rsidRDefault="001F2B4F">
            <w:pPr>
              <w:tabs>
                <w:tab w:val="left" w:pos="307"/>
              </w:tabs>
              <w:overflowPunct w:val="0"/>
              <w:snapToGrid w:val="0"/>
              <w:ind w:firstLineChars="1" w:firstLine="2"/>
              <w:jc w:val="left"/>
              <w:rPr>
                <w:rFonts w:cs="Times New Roman"/>
                <w:bCs/>
                <w:kern w:val="0"/>
                <w:sz w:val="24"/>
                <w:szCs w:val="24"/>
                <w:lang w:eastAsia="en-US"/>
              </w:rPr>
            </w:pPr>
          </w:p>
        </w:tc>
        <w:tc>
          <w:tcPr>
            <w:tcW w:w="3830" w:type="dxa"/>
            <w:vMerge/>
            <w:tcBorders>
              <w:left w:val="single" w:sz="4" w:space="0" w:color="auto"/>
            </w:tcBorders>
            <w:vAlign w:val="center"/>
          </w:tcPr>
          <w:p w14:paraId="7A668C2F" w14:textId="77777777" w:rsidR="001F2B4F" w:rsidRDefault="001F2B4F">
            <w:pPr>
              <w:tabs>
                <w:tab w:val="left" w:pos="307"/>
              </w:tabs>
              <w:overflowPunct w:val="0"/>
              <w:snapToGrid w:val="0"/>
              <w:ind w:firstLineChars="1" w:firstLine="2"/>
              <w:rPr>
                <w:rFonts w:cs="Times New Roman"/>
                <w:bCs/>
                <w:kern w:val="0"/>
                <w:sz w:val="24"/>
                <w:szCs w:val="24"/>
                <w:lang w:eastAsia="en-US"/>
              </w:rPr>
            </w:pPr>
          </w:p>
        </w:tc>
      </w:tr>
      <w:tr w:rsidR="001F2B4F" w14:paraId="59FC5DC8" w14:textId="77777777">
        <w:trPr>
          <w:trHeight w:val="20"/>
          <w:jc w:val="center"/>
        </w:trPr>
        <w:tc>
          <w:tcPr>
            <w:tcW w:w="562" w:type="dxa"/>
            <w:tcBorders>
              <w:left w:val="single" w:sz="4" w:space="0" w:color="auto"/>
              <w:right w:val="single" w:sz="4" w:space="0" w:color="auto"/>
            </w:tcBorders>
            <w:vAlign w:val="center"/>
          </w:tcPr>
          <w:p w14:paraId="2EB3629C" w14:textId="77777777" w:rsidR="001F2B4F" w:rsidRDefault="00000000">
            <w:pPr>
              <w:overflowPunct w:val="0"/>
              <w:snapToGrid w:val="0"/>
              <w:jc w:val="center"/>
              <w:rPr>
                <w:rFonts w:cs="Times New Roman"/>
                <w:bCs/>
                <w:kern w:val="0"/>
                <w:sz w:val="24"/>
                <w:szCs w:val="24"/>
                <w:lang w:eastAsia="en-US"/>
              </w:rPr>
            </w:pPr>
            <w:r>
              <w:rPr>
                <w:rFonts w:cs="Times New Roman"/>
                <w:bCs/>
                <w:kern w:val="0"/>
                <w:sz w:val="24"/>
                <w:szCs w:val="24"/>
                <w:lang w:eastAsia="en-US"/>
              </w:rPr>
              <w:t>12</w:t>
            </w:r>
          </w:p>
        </w:tc>
        <w:tc>
          <w:tcPr>
            <w:tcW w:w="1274" w:type="dxa"/>
            <w:tcBorders>
              <w:left w:val="single" w:sz="4" w:space="0" w:color="auto"/>
              <w:right w:val="single" w:sz="4" w:space="0" w:color="auto"/>
            </w:tcBorders>
            <w:vAlign w:val="center"/>
          </w:tcPr>
          <w:p w14:paraId="32DAD03E" w14:textId="77777777" w:rsidR="001F2B4F" w:rsidRDefault="00000000">
            <w:pPr>
              <w:overflowPunct w:val="0"/>
              <w:snapToGrid w:val="0"/>
              <w:ind w:firstLineChars="1" w:firstLine="2"/>
              <w:jc w:val="center"/>
              <w:rPr>
                <w:rFonts w:cs="Times New Roman"/>
                <w:bCs/>
                <w:kern w:val="0"/>
                <w:sz w:val="24"/>
                <w:szCs w:val="24"/>
                <w:lang w:eastAsia="en-US"/>
              </w:rPr>
            </w:pPr>
            <w:r>
              <w:rPr>
                <w:rFonts w:cs="Times New Roman"/>
                <w:bCs/>
                <w:kern w:val="0"/>
                <w:sz w:val="24"/>
                <w:szCs w:val="24"/>
                <w:lang w:eastAsia="en-US"/>
              </w:rPr>
              <w:t>碳中和</w:t>
            </w:r>
          </w:p>
        </w:tc>
        <w:tc>
          <w:tcPr>
            <w:tcW w:w="1277" w:type="dxa"/>
            <w:tcBorders>
              <w:left w:val="single" w:sz="4" w:space="0" w:color="auto"/>
              <w:right w:val="single" w:sz="4" w:space="0" w:color="auto"/>
            </w:tcBorders>
            <w:vAlign w:val="center"/>
          </w:tcPr>
          <w:p w14:paraId="0F739EA3" w14:textId="77777777" w:rsidR="001F2B4F" w:rsidRDefault="00000000">
            <w:pPr>
              <w:overflowPunct w:val="0"/>
              <w:snapToGrid w:val="0"/>
              <w:ind w:firstLineChars="1" w:firstLine="2"/>
              <w:jc w:val="center"/>
              <w:rPr>
                <w:rFonts w:cs="Times New Roman"/>
                <w:bCs/>
                <w:spacing w:val="-15"/>
                <w:kern w:val="0"/>
                <w:sz w:val="24"/>
                <w:szCs w:val="24"/>
                <w:lang w:eastAsia="en-US"/>
              </w:rPr>
            </w:pPr>
            <w:r>
              <w:rPr>
                <w:rFonts w:cs="Times New Roman"/>
                <w:bCs/>
                <w:spacing w:val="-15"/>
                <w:kern w:val="0"/>
                <w:sz w:val="24"/>
                <w:szCs w:val="24"/>
                <w:lang w:eastAsia="en-US"/>
              </w:rPr>
              <w:t>绿色低碳产业</w:t>
            </w:r>
          </w:p>
        </w:tc>
        <w:tc>
          <w:tcPr>
            <w:tcW w:w="2976" w:type="dxa"/>
            <w:tcBorders>
              <w:top w:val="single" w:sz="4" w:space="0" w:color="auto"/>
              <w:left w:val="single" w:sz="4" w:space="0" w:color="auto"/>
              <w:bottom w:val="single" w:sz="4" w:space="0" w:color="auto"/>
              <w:right w:val="single" w:sz="4" w:space="0" w:color="auto"/>
            </w:tcBorders>
            <w:vAlign w:val="center"/>
          </w:tcPr>
          <w:p w14:paraId="61998AF6" w14:textId="77777777" w:rsidR="001F2B4F" w:rsidRDefault="00000000">
            <w:pPr>
              <w:tabs>
                <w:tab w:val="left" w:pos="307"/>
              </w:tabs>
              <w:overflowPunct w:val="0"/>
              <w:snapToGrid w:val="0"/>
              <w:ind w:firstLineChars="1" w:firstLine="2"/>
              <w:jc w:val="left"/>
              <w:rPr>
                <w:rFonts w:cs="Times New Roman"/>
                <w:bCs/>
                <w:kern w:val="0"/>
                <w:sz w:val="24"/>
                <w:szCs w:val="24"/>
                <w:lang w:eastAsia="en-US"/>
              </w:rPr>
            </w:pPr>
            <w:r>
              <w:rPr>
                <w:rFonts w:cs="Times New Roman"/>
                <w:bCs/>
                <w:kern w:val="0"/>
                <w:sz w:val="24"/>
                <w:szCs w:val="24"/>
                <w:lang w:eastAsia="en-US"/>
              </w:rPr>
              <w:t>淮州新城</w:t>
            </w:r>
          </w:p>
        </w:tc>
        <w:tc>
          <w:tcPr>
            <w:tcW w:w="5388" w:type="dxa"/>
            <w:tcBorders>
              <w:left w:val="single" w:sz="4" w:space="0" w:color="auto"/>
              <w:right w:val="single" w:sz="4" w:space="0" w:color="auto"/>
            </w:tcBorders>
            <w:vAlign w:val="center"/>
          </w:tcPr>
          <w:p w14:paraId="5A74DE9A"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成都科学城（碳中和科技）</w:t>
            </w:r>
          </w:p>
          <w:p w14:paraId="508C8E9D"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中法成都生态园（绿色低碳服务业）</w:t>
            </w:r>
          </w:p>
          <w:p w14:paraId="3B48009E"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成都高分子新材料产业功能区（氢能）</w:t>
            </w:r>
          </w:p>
          <w:p w14:paraId="544C703C"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成都绿色氢能产业功能区（氢能）</w:t>
            </w:r>
          </w:p>
          <w:p w14:paraId="137A888A"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成都高性能纤维材料产业功能区（资源循环利用）</w:t>
            </w:r>
          </w:p>
          <w:p w14:paraId="5ED4C855"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天府新区半导体材料产业功能区（新能源电池）</w:t>
            </w:r>
          </w:p>
          <w:p w14:paraId="2416598B"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成都空</w:t>
            </w:r>
            <w:proofErr w:type="gramStart"/>
            <w:r>
              <w:rPr>
                <w:rFonts w:cs="Times New Roman" w:hint="eastAsia"/>
                <w:bCs/>
                <w:kern w:val="0"/>
                <w:sz w:val="24"/>
                <w:szCs w:val="24"/>
              </w:rPr>
              <w:t>天产业</w:t>
            </w:r>
            <w:proofErr w:type="gramEnd"/>
            <w:r>
              <w:rPr>
                <w:rFonts w:cs="Times New Roman" w:hint="eastAsia"/>
                <w:bCs/>
                <w:kern w:val="0"/>
                <w:sz w:val="24"/>
                <w:szCs w:val="24"/>
              </w:rPr>
              <w:t>功能区（绿色建筑、新能源功能性材料）</w:t>
            </w:r>
          </w:p>
          <w:p w14:paraId="0875FC38" w14:textId="77777777" w:rsidR="001F2B4F" w:rsidRDefault="00000000">
            <w:pPr>
              <w:overflowPunct w:val="0"/>
              <w:adjustRightInd w:val="0"/>
              <w:snapToGrid w:val="0"/>
              <w:ind w:firstLineChars="1" w:firstLine="2"/>
              <w:jc w:val="left"/>
              <w:rPr>
                <w:rFonts w:cs="Times New Roman"/>
                <w:bCs/>
                <w:kern w:val="0"/>
                <w:sz w:val="24"/>
                <w:szCs w:val="24"/>
              </w:rPr>
            </w:pPr>
            <w:r>
              <w:rPr>
                <w:rFonts w:cs="Times New Roman" w:hint="eastAsia"/>
                <w:bCs/>
                <w:kern w:val="0"/>
                <w:sz w:val="24"/>
                <w:szCs w:val="24"/>
              </w:rPr>
              <w:t>双流航空经济区（光伏）</w:t>
            </w:r>
          </w:p>
        </w:tc>
        <w:tc>
          <w:tcPr>
            <w:tcW w:w="3830" w:type="dxa"/>
            <w:tcBorders>
              <w:left w:val="single" w:sz="4" w:space="0" w:color="auto"/>
            </w:tcBorders>
            <w:vAlign w:val="center"/>
          </w:tcPr>
          <w:p w14:paraId="3159B834" w14:textId="77777777" w:rsidR="001F2B4F" w:rsidRDefault="00000000">
            <w:pPr>
              <w:overflowPunct w:val="0"/>
              <w:adjustRightInd w:val="0"/>
              <w:snapToGrid w:val="0"/>
              <w:ind w:firstLineChars="1" w:firstLine="2"/>
              <w:rPr>
                <w:rFonts w:cs="Times New Roman"/>
                <w:bCs/>
                <w:kern w:val="0"/>
                <w:sz w:val="24"/>
                <w:szCs w:val="24"/>
              </w:rPr>
            </w:pPr>
            <w:r>
              <w:rPr>
                <w:rFonts w:cs="Times New Roman" w:hint="eastAsia"/>
                <w:bCs/>
                <w:kern w:val="0"/>
                <w:sz w:val="24"/>
                <w:szCs w:val="24"/>
              </w:rPr>
              <w:t>重点围绕节能环保、碳中和、绿色材料、氢能等领域培育相关展会活动。</w:t>
            </w:r>
          </w:p>
        </w:tc>
      </w:tr>
    </w:tbl>
    <w:p w14:paraId="3414B5DB" w14:textId="77777777" w:rsidR="001F2B4F" w:rsidRDefault="00000000">
      <w:pPr>
        <w:pStyle w:val="a0"/>
        <w:sectPr w:rsidR="001F2B4F">
          <w:headerReference w:type="even" r:id="rId18"/>
          <w:headerReference w:type="default" r:id="rId19"/>
          <w:footerReference w:type="even" r:id="rId20"/>
          <w:headerReference w:type="first" r:id="rId21"/>
          <w:footerReference w:type="first" r:id="rId22"/>
          <w:pgSz w:w="16840" w:h="11907" w:orient="landscape"/>
          <w:pgMar w:top="1417" w:right="1417" w:bottom="1417" w:left="1417" w:header="851" w:footer="1134" w:gutter="0"/>
          <w:cols w:space="0"/>
          <w:docGrid w:linePitch="435"/>
        </w:sectPr>
      </w:pPr>
      <w:r>
        <w:br w:type="page"/>
      </w:r>
    </w:p>
    <w:p w14:paraId="19915F83" w14:textId="77777777" w:rsidR="001F2B4F" w:rsidRDefault="001F2B4F">
      <w:pPr>
        <w:widowControl/>
        <w:jc w:val="left"/>
        <w:rPr>
          <w:rFonts w:eastAsia="方正黑体_GBK" w:cs="Times New Roman"/>
          <w:bCs/>
          <w:sz w:val="36"/>
          <w:szCs w:val="36"/>
        </w:rPr>
      </w:pPr>
    </w:p>
    <w:sectPr w:rsidR="001F2B4F">
      <w:footerReference w:type="default" r:id="rId23"/>
      <w:pgSz w:w="16840" w:h="11907" w:orient="landscape"/>
      <w:pgMar w:top="1474" w:right="1928" w:bottom="1588" w:left="2098" w:header="851" w:footer="1588" w:gutter="0"/>
      <w:cols w:space="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CF84" w14:textId="77777777" w:rsidR="00BD72C3" w:rsidRDefault="00BD72C3">
      <w:r>
        <w:separator/>
      </w:r>
    </w:p>
  </w:endnote>
  <w:endnote w:type="continuationSeparator" w:id="0">
    <w:p w14:paraId="298A9327" w14:textId="77777777" w:rsidR="00BD72C3" w:rsidRDefault="00BD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PMingLiU"/>
    <w:panose1 w:val="02010601000101010101"/>
    <w:charset w:val="88"/>
    <w:family w:val="roman"/>
    <w:pitch w:val="variable"/>
    <w:sig w:usb0="A00002FF" w:usb1="28CFFCFA" w:usb2="00000016" w:usb3="00000000" w:csb0="00100001" w:csb1="00000000"/>
  </w:font>
  <w:font w:name="方正小标宋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方正黑体_GBK">
    <w:panose1 w:val="02000000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DF2E" w14:textId="77777777" w:rsidR="001F2B4F" w:rsidRDefault="00000000">
    <w:pPr>
      <w:pStyle w:val="ab"/>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rPr>
      <w:t>2</w:t>
    </w:r>
    <w:r>
      <w:rPr>
        <w:rStyle w:val="af4"/>
      </w:rPr>
      <w:fldChar w:fldCharType="end"/>
    </w:r>
  </w:p>
  <w:p w14:paraId="3E7BC42C" w14:textId="77777777" w:rsidR="001F2B4F" w:rsidRDefault="001F2B4F">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17C0" w14:textId="77777777" w:rsidR="001F2B4F" w:rsidRDefault="001F2B4F">
    <w:pPr>
      <w:pStyle w:val="ab"/>
      <w:ind w:right="360" w:firstLine="360"/>
      <w:rPr>
        <w:rFonts w:cs="Times New Roman"/>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7FCE" w14:textId="77777777" w:rsidR="001F2B4F" w:rsidRDefault="00000000">
    <w:pPr>
      <w:pStyle w:val="ab"/>
      <w:framePr w:wrap="around" w:vAnchor="text" w:hAnchor="margin" w:xAlign="outside" w:y="1"/>
      <w:rPr>
        <w:rStyle w:val="af4"/>
        <w:rFonts w:cs="Times New Roman"/>
        <w:sz w:val="28"/>
      </w:rPr>
    </w:pPr>
    <w:r>
      <w:rPr>
        <w:rStyle w:val="af4"/>
        <w:rFonts w:ascii="仿宋_GB2312" w:eastAsia="仿宋_GB2312" w:cs="Times New Roman" w:hint="eastAsia"/>
        <w:color w:val="FFFFFF"/>
        <w:sz w:val="28"/>
      </w:rPr>
      <w:t>—</w:t>
    </w:r>
    <w:r>
      <w:rPr>
        <w:rStyle w:val="af4"/>
        <w:rFonts w:ascii="仿宋_GB2312" w:eastAsia="仿宋_GB2312" w:cs="Times New Roman" w:hint="eastAsia"/>
        <w:sz w:val="28"/>
      </w:rPr>
      <w:t>—</w:t>
    </w:r>
    <w:r>
      <w:rPr>
        <w:rStyle w:val="af4"/>
        <w:rFonts w:ascii="仿宋_GB2312" w:eastAsia="仿宋_GB2312" w:cs="Times New Roman"/>
        <w:sz w:val="28"/>
      </w:rPr>
      <w:t xml:space="preserve"> </w:t>
    </w:r>
    <w:r>
      <w:rPr>
        <w:rStyle w:val="af4"/>
        <w:rFonts w:cs="Times New Roman"/>
        <w:sz w:val="28"/>
      </w:rPr>
      <w:fldChar w:fldCharType="begin"/>
    </w:r>
    <w:r>
      <w:rPr>
        <w:rStyle w:val="af4"/>
        <w:rFonts w:cs="Times New Roman"/>
        <w:sz w:val="28"/>
      </w:rPr>
      <w:instrText xml:space="preserve">PAGE  </w:instrText>
    </w:r>
    <w:r>
      <w:rPr>
        <w:rStyle w:val="af4"/>
        <w:rFonts w:cs="Times New Roman"/>
        <w:sz w:val="28"/>
      </w:rPr>
      <w:fldChar w:fldCharType="separate"/>
    </w:r>
    <w:r>
      <w:rPr>
        <w:rStyle w:val="af4"/>
        <w:rFonts w:cs="Times New Roman"/>
        <w:sz w:val="28"/>
      </w:rPr>
      <w:t>48</w:t>
    </w:r>
    <w:r>
      <w:rPr>
        <w:rStyle w:val="af4"/>
        <w:rFonts w:cs="Times New Roman"/>
        <w:sz w:val="28"/>
      </w:rPr>
      <w:fldChar w:fldCharType="end"/>
    </w:r>
    <w:r>
      <w:rPr>
        <w:rStyle w:val="af4"/>
        <w:rFonts w:ascii="仿宋_GB2312" w:eastAsia="仿宋_GB2312" w:cs="Times New Roman"/>
        <w:sz w:val="28"/>
      </w:rPr>
      <w:t xml:space="preserve"> </w:t>
    </w:r>
    <w:r>
      <w:rPr>
        <w:rStyle w:val="af4"/>
        <w:rFonts w:ascii="仿宋_GB2312" w:eastAsia="仿宋_GB2312" w:cs="Times New Roman" w:hint="eastAsia"/>
        <w:sz w:val="28"/>
      </w:rPr>
      <w:t>—</w:t>
    </w:r>
    <w:r>
      <w:rPr>
        <w:rStyle w:val="af4"/>
        <w:rFonts w:ascii="仿宋_GB2312" w:eastAsia="仿宋_GB2312" w:cs="Times New Roman" w:hint="eastAsia"/>
        <w:color w:val="FFFFFF"/>
        <w:sz w:val="28"/>
      </w:rPr>
      <w:t>—</w:t>
    </w:r>
  </w:p>
  <w:p w14:paraId="58E5B622" w14:textId="77777777" w:rsidR="001F2B4F" w:rsidRDefault="001F2B4F">
    <w:pPr>
      <w:pStyle w:val="ab"/>
      <w:ind w:right="360" w:firstLine="360"/>
      <w:rPr>
        <w:rFonts w:cs="Times New Roman"/>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039A" w14:textId="77777777" w:rsidR="001F2B4F" w:rsidRDefault="001F2B4F">
    <w:pPr>
      <w:pStyle w:val="ab"/>
      <w:rPr>
        <w:rFonts w:cs="Times New Roman"/>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88C" w14:textId="77777777" w:rsidR="001F2B4F" w:rsidRDefault="001F2B4F">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5244" w14:textId="77777777" w:rsidR="001F2B4F" w:rsidRDefault="001F2B4F">
    <w:pPr>
      <w:pStyle w:val="ab"/>
      <w:ind w:right="360" w:firstLine="360"/>
      <w:rPr>
        <w:rFonts w:cs="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F106" w14:textId="77777777" w:rsidR="00BD72C3" w:rsidRDefault="00BD72C3">
      <w:r>
        <w:separator/>
      </w:r>
    </w:p>
  </w:footnote>
  <w:footnote w:type="continuationSeparator" w:id="0">
    <w:p w14:paraId="39C28CBF" w14:textId="77777777" w:rsidR="00BD72C3" w:rsidRDefault="00BD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CC9F" w14:textId="77777777" w:rsidR="001F2B4F" w:rsidRDefault="001F2B4F">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857C" w14:textId="77777777" w:rsidR="001F2B4F" w:rsidRDefault="001F2B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612" w14:textId="77777777" w:rsidR="001F2B4F" w:rsidRDefault="001F2B4F">
    <w:pPr>
      <w:pStyle w:val="ad"/>
      <w:pBdr>
        <w:bottom w:val="none" w:sz="0" w:space="0" w:color="auto"/>
      </w:pBdr>
      <w:ind w:left="420" w:firstLine="6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FEC2" w14:textId="77777777" w:rsidR="001F2B4F" w:rsidRDefault="001F2B4F">
    <w:pPr>
      <w:pStyle w:val="ad"/>
      <w:ind w:left="420" w:firstLine="6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2B83" w14:textId="77777777" w:rsidR="001F2B4F" w:rsidRDefault="001F2B4F">
    <w:pPr>
      <w:pStyle w:val="ad"/>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6BCA" w14:textId="77777777" w:rsidR="001F2B4F" w:rsidRDefault="001F2B4F">
    <w:pPr>
      <w:pStyle w:val="ad"/>
      <w:pBdr>
        <w:bottom w:val="none" w:sz="0" w:space="0" w:color="auto"/>
      </w:pBdr>
      <w:ind w:firstLine="360"/>
    </w:pPr>
  </w:p>
  <w:p w14:paraId="78F61645" w14:textId="77777777" w:rsidR="001F2B4F" w:rsidRDefault="001F2B4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41B8" w14:textId="77777777" w:rsidR="001F2B4F" w:rsidRDefault="001F2B4F">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58"/>
  <w:drawingGridVerticalSpacing w:val="291"/>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U0YzA5MzM4MjczOGEzOThhN2VhMGM2OGE2MmZmNDMifQ=="/>
  </w:docVars>
  <w:rsids>
    <w:rsidRoot w:val="00924F3F"/>
    <w:rsid w:val="F0EAE38E"/>
    <w:rsid w:val="FEF75CBB"/>
    <w:rsid w:val="000006E2"/>
    <w:rsid w:val="00004642"/>
    <w:rsid w:val="00014669"/>
    <w:rsid w:val="00015DEF"/>
    <w:rsid w:val="0002027F"/>
    <w:rsid w:val="00020D31"/>
    <w:rsid w:val="0002200C"/>
    <w:rsid w:val="00024C54"/>
    <w:rsid w:val="0003180D"/>
    <w:rsid w:val="000327CC"/>
    <w:rsid w:val="00032996"/>
    <w:rsid w:val="00034E2E"/>
    <w:rsid w:val="0003766B"/>
    <w:rsid w:val="00050095"/>
    <w:rsid w:val="00050830"/>
    <w:rsid w:val="00063C8E"/>
    <w:rsid w:val="00067E2E"/>
    <w:rsid w:val="00071266"/>
    <w:rsid w:val="00076EBE"/>
    <w:rsid w:val="00091F48"/>
    <w:rsid w:val="00095B00"/>
    <w:rsid w:val="000A24D6"/>
    <w:rsid w:val="000A4410"/>
    <w:rsid w:val="000B62FF"/>
    <w:rsid w:val="000B74E8"/>
    <w:rsid w:val="000C2C50"/>
    <w:rsid w:val="000D6D34"/>
    <w:rsid w:val="000D7596"/>
    <w:rsid w:val="000E2290"/>
    <w:rsid w:val="000E3272"/>
    <w:rsid w:val="000F1E52"/>
    <w:rsid w:val="000F6C32"/>
    <w:rsid w:val="00101169"/>
    <w:rsid w:val="001044A0"/>
    <w:rsid w:val="00114EA8"/>
    <w:rsid w:val="0012562F"/>
    <w:rsid w:val="00135B2F"/>
    <w:rsid w:val="00135C0C"/>
    <w:rsid w:val="00135FF3"/>
    <w:rsid w:val="00141CE0"/>
    <w:rsid w:val="00143352"/>
    <w:rsid w:val="00146965"/>
    <w:rsid w:val="00150CD9"/>
    <w:rsid w:val="0015126A"/>
    <w:rsid w:val="00151662"/>
    <w:rsid w:val="00157ED8"/>
    <w:rsid w:val="00160D26"/>
    <w:rsid w:val="00164A55"/>
    <w:rsid w:val="001658EA"/>
    <w:rsid w:val="0017425D"/>
    <w:rsid w:val="00177B10"/>
    <w:rsid w:val="00180D3B"/>
    <w:rsid w:val="001822D2"/>
    <w:rsid w:val="00182E3F"/>
    <w:rsid w:val="001946F4"/>
    <w:rsid w:val="00197295"/>
    <w:rsid w:val="00197C48"/>
    <w:rsid w:val="001A04CA"/>
    <w:rsid w:val="001A6039"/>
    <w:rsid w:val="001A69BE"/>
    <w:rsid w:val="001A6B23"/>
    <w:rsid w:val="001A7F30"/>
    <w:rsid w:val="001C53DC"/>
    <w:rsid w:val="001D0B51"/>
    <w:rsid w:val="001D1F43"/>
    <w:rsid w:val="001D7AD5"/>
    <w:rsid w:val="001E53A6"/>
    <w:rsid w:val="001E7067"/>
    <w:rsid w:val="001F2B4F"/>
    <w:rsid w:val="001F65AE"/>
    <w:rsid w:val="0020257B"/>
    <w:rsid w:val="00203A80"/>
    <w:rsid w:val="00222470"/>
    <w:rsid w:val="00230539"/>
    <w:rsid w:val="00231D91"/>
    <w:rsid w:val="00234D1B"/>
    <w:rsid w:val="00234E26"/>
    <w:rsid w:val="00240E11"/>
    <w:rsid w:val="00242874"/>
    <w:rsid w:val="0024594A"/>
    <w:rsid w:val="00247030"/>
    <w:rsid w:val="00251D40"/>
    <w:rsid w:val="00255FC6"/>
    <w:rsid w:val="00260517"/>
    <w:rsid w:val="002653F7"/>
    <w:rsid w:val="00273511"/>
    <w:rsid w:val="002737F4"/>
    <w:rsid w:val="00274D30"/>
    <w:rsid w:val="00276358"/>
    <w:rsid w:val="00282D16"/>
    <w:rsid w:val="002A0F7B"/>
    <w:rsid w:val="002A1C93"/>
    <w:rsid w:val="002B004D"/>
    <w:rsid w:val="002B0F0E"/>
    <w:rsid w:val="002B5C08"/>
    <w:rsid w:val="002C1611"/>
    <w:rsid w:val="002C7963"/>
    <w:rsid w:val="002D0621"/>
    <w:rsid w:val="002D1B2B"/>
    <w:rsid w:val="002D56C5"/>
    <w:rsid w:val="002E37C2"/>
    <w:rsid w:val="002F2149"/>
    <w:rsid w:val="002F5888"/>
    <w:rsid w:val="0030064F"/>
    <w:rsid w:val="00303954"/>
    <w:rsid w:val="00305522"/>
    <w:rsid w:val="00307C27"/>
    <w:rsid w:val="00312A33"/>
    <w:rsid w:val="003130F4"/>
    <w:rsid w:val="00314ECB"/>
    <w:rsid w:val="0032666E"/>
    <w:rsid w:val="00330FD6"/>
    <w:rsid w:val="00343B41"/>
    <w:rsid w:val="00344843"/>
    <w:rsid w:val="00353CB5"/>
    <w:rsid w:val="003540D4"/>
    <w:rsid w:val="00360052"/>
    <w:rsid w:val="00360EA8"/>
    <w:rsid w:val="00364F27"/>
    <w:rsid w:val="00365E9D"/>
    <w:rsid w:val="00373DB0"/>
    <w:rsid w:val="0038479B"/>
    <w:rsid w:val="00387A24"/>
    <w:rsid w:val="003954F2"/>
    <w:rsid w:val="0039565D"/>
    <w:rsid w:val="00395FA5"/>
    <w:rsid w:val="003A6935"/>
    <w:rsid w:val="003A7044"/>
    <w:rsid w:val="003B054F"/>
    <w:rsid w:val="003B23DA"/>
    <w:rsid w:val="003B4E44"/>
    <w:rsid w:val="003B68F4"/>
    <w:rsid w:val="003C05C5"/>
    <w:rsid w:val="003C1E9F"/>
    <w:rsid w:val="003C4323"/>
    <w:rsid w:val="003C52D2"/>
    <w:rsid w:val="003C6E9C"/>
    <w:rsid w:val="003D08B4"/>
    <w:rsid w:val="003D3156"/>
    <w:rsid w:val="003D6210"/>
    <w:rsid w:val="003E0CAF"/>
    <w:rsid w:val="003E2EBC"/>
    <w:rsid w:val="003E6E39"/>
    <w:rsid w:val="003F02D8"/>
    <w:rsid w:val="003F6E41"/>
    <w:rsid w:val="003F7393"/>
    <w:rsid w:val="00400006"/>
    <w:rsid w:val="00400DF2"/>
    <w:rsid w:val="0040277E"/>
    <w:rsid w:val="004144E7"/>
    <w:rsid w:val="00415C93"/>
    <w:rsid w:val="00416833"/>
    <w:rsid w:val="004258A0"/>
    <w:rsid w:val="0044073E"/>
    <w:rsid w:val="004455A5"/>
    <w:rsid w:val="00445B8C"/>
    <w:rsid w:val="00454999"/>
    <w:rsid w:val="00457183"/>
    <w:rsid w:val="004575CC"/>
    <w:rsid w:val="004631F3"/>
    <w:rsid w:val="00466264"/>
    <w:rsid w:val="00467C13"/>
    <w:rsid w:val="0048067F"/>
    <w:rsid w:val="00481592"/>
    <w:rsid w:val="00494A61"/>
    <w:rsid w:val="00495FF7"/>
    <w:rsid w:val="0049682D"/>
    <w:rsid w:val="004A0315"/>
    <w:rsid w:val="004A1495"/>
    <w:rsid w:val="004A2747"/>
    <w:rsid w:val="004A4F47"/>
    <w:rsid w:val="004B179B"/>
    <w:rsid w:val="004B2FD8"/>
    <w:rsid w:val="004B3866"/>
    <w:rsid w:val="004B5438"/>
    <w:rsid w:val="004B56B7"/>
    <w:rsid w:val="004B7741"/>
    <w:rsid w:val="004D09F3"/>
    <w:rsid w:val="004D2067"/>
    <w:rsid w:val="004D58ED"/>
    <w:rsid w:val="004E1DD4"/>
    <w:rsid w:val="004E2836"/>
    <w:rsid w:val="004F3CA8"/>
    <w:rsid w:val="004F6982"/>
    <w:rsid w:val="004F778C"/>
    <w:rsid w:val="00501118"/>
    <w:rsid w:val="005078D2"/>
    <w:rsid w:val="00510A32"/>
    <w:rsid w:val="00510EB8"/>
    <w:rsid w:val="00521BC3"/>
    <w:rsid w:val="00526BDA"/>
    <w:rsid w:val="00532422"/>
    <w:rsid w:val="0053250A"/>
    <w:rsid w:val="00532AFA"/>
    <w:rsid w:val="0053605D"/>
    <w:rsid w:val="00536943"/>
    <w:rsid w:val="005413E6"/>
    <w:rsid w:val="00555395"/>
    <w:rsid w:val="005578CE"/>
    <w:rsid w:val="00560911"/>
    <w:rsid w:val="00560C01"/>
    <w:rsid w:val="00561A56"/>
    <w:rsid w:val="00561D85"/>
    <w:rsid w:val="00565F74"/>
    <w:rsid w:val="005725AF"/>
    <w:rsid w:val="00572EFC"/>
    <w:rsid w:val="00572FB4"/>
    <w:rsid w:val="0058688C"/>
    <w:rsid w:val="005918A4"/>
    <w:rsid w:val="0059212C"/>
    <w:rsid w:val="005A20CC"/>
    <w:rsid w:val="005B17FB"/>
    <w:rsid w:val="005B3BDF"/>
    <w:rsid w:val="005C360B"/>
    <w:rsid w:val="005C53E2"/>
    <w:rsid w:val="005D26F7"/>
    <w:rsid w:val="005D40BD"/>
    <w:rsid w:val="005D6744"/>
    <w:rsid w:val="005E28C8"/>
    <w:rsid w:val="005E5D0F"/>
    <w:rsid w:val="005F0EE7"/>
    <w:rsid w:val="005F1EE5"/>
    <w:rsid w:val="005F2A72"/>
    <w:rsid w:val="005F4019"/>
    <w:rsid w:val="005F49B7"/>
    <w:rsid w:val="00600CEB"/>
    <w:rsid w:val="00603E03"/>
    <w:rsid w:val="00615A4B"/>
    <w:rsid w:val="00616722"/>
    <w:rsid w:val="006171EF"/>
    <w:rsid w:val="006332F4"/>
    <w:rsid w:val="006357D3"/>
    <w:rsid w:val="00637160"/>
    <w:rsid w:val="006374B4"/>
    <w:rsid w:val="00652396"/>
    <w:rsid w:val="006529FD"/>
    <w:rsid w:val="0065498A"/>
    <w:rsid w:val="00663682"/>
    <w:rsid w:val="00664793"/>
    <w:rsid w:val="00671867"/>
    <w:rsid w:val="0067223D"/>
    <w:rsid w:val="00694F3A"/>
    <w:rsid w:val="006A09F8"/>
    <w:rsid w:val="006B6A2F"/>
    <w:rsid w:val="006C40DA"/>
    <w:rsid w:val="006D1E83"/>
    <w:rsid w:val="006D2AC1"/>
    <w:rsid w:val="006D2FE7"/>
    <w:rsid w:val="006D5837"/>
    <w:rsid w:val="006D660D"/>
    <w:rsid w:val="006E2BE2"/>
    <w:rsid w:val="006E49A2"/>
    <w:rsid w:val="006F3D4D"/>
    <w:rsid w:val="007029B8"/>
    <w:rsid w:val="00704634"/>
    <w:rsid w:val="00710289"/>
    <w:rsid w:val="007127CF"/>
    <w:rsid w:val="00722312"/>
    <w:rsid w:val="007236BF"/>
    <w:rsid w:val="00724E04"/>
    <w:rsid w:val="0074109A"/>
    <w:rsid w:val="00746B90"/>
    <w:rsid w:val="007473AB"/>
    <w:rsid w:val="00757A7A"/>
    <w:rsid w:val="0076407B"/>
    <w:rsid w:val="00765DBD"/>
    <w:rsid w:val="0076749E"/>
    <w:rsid w:val="00770757"/>
    <w:rsid w:val="00774D57"/>
    <w:rsid w:val="00775271"/>
    <w:rsid w:val="00782825"/>
    <w:rsid w:val="00782DE6"/>
    <w:rsid w:val="00797306"/>
    <w:rsid w:val="007A1E03"/>
    <w:rsid w:val="007A42D5"/>
    <w:rsid w:val="007A4C3A"/>
    <w:rsid w:val="007A7518"/>
    <w:rsid w:val="007B0127"/>
    <w:rsid w:val="007B0C97"/>
    <w:rsid w:val="007B7E4A"/>
    <w:rsid w:val="007C3ED3"/>
    <w:rsid w:val="007C6235"/>
    <w:rsid w:val="007C6B95"/>
    <w:rsid w:val="007D0219"/>
    <w:rsid w:val="007D6373"/>
    <w:rsid w:val="007D6853"/>
    <w:rsid w:val="007D75D1"/>
    <w:rsid w:val="007E7C55"/>
    <w:rsid w:val="007F6A72"/>
    <w:rsid w:val="007F7B8B"/>
    <w:rsid w:val="008032B0"/>
    <w:rsid w:val="00804BA5"/>
    <w:rsid w:val="00807FA9"/>
    <w:rsid w:val="00813743"/>
    <w:rsid w:val="00813F6E"/>
    <w:rsid w:val="00815A9A"/>
    <w:rsid w:val="00816D27"/>
    <w:rsid w:val="008227A0"/>
    <w:rsid w:val="008251B7"/>
    <w:rsid w:val="00826077"/>
    <w:rsid w:val="00836191"/>
    <w:rsid w:val="00842B9F"/>
    <w:rsid w:val="008467D2"/>
    <w:rsid w:val="00850406"/>
    <w:rsid w:val="0086292F"/>
    <w:rsid w:val="0086678A"/>
    <w:rsid w:val="008715B5"/>
    <w:rsid w:val="008812D8"/>
    <w:rsid w:val="008827CD"/>
    <w:rsid w:val="008828F3"/>
    <w:rsid w:val="00883D65"/>
    <w:rsid w:val="0089559D"/>
    <w:rsid w:val="008A427C"/>
    <w:rsid w:val="008A652F"/>
    <w:rsid w:val="008B0654"/>
    <w:rsid w:val="008C093E"/>
    <w:rsid w:val="008C30E3"/>
    <w:rsid w:val="008C5BC4"/>
    <w:rsid w:val="008C62F4"/>
    <w:rsid w:val="008D065F"/>
    <w:rsid w:val="008D2791"/>
    <w:rsid w:val="008D6246"/>
    <w:rsid w:val="008E43FC"/>
    <w:rsid w:val="008E7430"/>
    <w:rsid w:val="008E79E2"/>
    <w:rsid w:val="008F1CBD"/>
    <w:rsid w:val="0090556C"/>
    <w:rsid w:val="0090575D"/>
    <w:rsid w:val="009132CF"/>
    <w:rsid w:val="009218D6"/>
    <w:rsid w:val="00921DBF"/>
    <w:rsid w:val="0092204B"/>
    <w:rsid w:val="00924F3F"/>
    <w:rsid w:val="0092779E"/>
    <w:rsid w:val="00937F56"/>
    <w:rsid w:val="00940D30"/>
    <w:rsid w:val="00943630"/>
    <w:rsid w:val="00944006"/>
    <w:rsid w:val="00953ABB"/>
    <w:rsid w:val="009544F7"/>
    <w:rsid w:val="009550CE"/>
    <w:rsid w:val="009953B2"/>
    <w:rsid w:val="00996E27"/>
    <w:rsid w:val="009A1D85"/>
    <w:rsid w:val="009A20E9"/>
    <w:rsid w:val="009A748C"/>
    <w:rsid w:val="009B4A16"/>
    <w:rsid w:val="009B5265"/>
    <w:rsid w:val="009B638E"/>
    <w:rsid w:val="009C4496"/>
    <w:rsid w:val="009C62F5"/>
    <w:rsid w:val="009E43E5"/>
    <w:rsid w:val="009E6379"/>
    <w:rsid w:val="009F10F8"/>
    <w:rsid w:val="009F11B6"/>
    <w:rsid w:val="00A05DFE"/>
    <w:rsid w:val="00A15B62"/>
    <w:rsid w:val="00A15E79"/>
    <w:rsid w:val="00A1633F"/>
    <w:rsid w:val="00A2419E"/>
    <w:rsid w:val="00A25FA9"/>
    <w:rsid w:val="00A44E13"/>
    <w:rsid w:val="00A53179"/>
    <w:rsid w:val="00A57CC3"/>
    <w:rsid w:val="00A63DC3"/>
    <w:rsid w:val="00A65ED5"/>
    <w:rsid w:val="00A73684"/>
    <w:rsid w:val="00A776F1"/>
    <w:rsid w:val="00A84FD0"/>
    <w:rsid w:val="00A85787"/>
    <w:rsid w:val="00AA2BE8"/>
    <w:rsid w:val="00AA2E7F"/>
    <w:rsid w:val="00AC2233"/>
    <w:rsid w:val="00AC777D"/>
    <w:rsid w:val="00AD0B9C"/>
    <w:rsid w:val="00AD6D29"/>
    <w:rsid w:val="00AE39E8"/>
    <w:rsid w:val="00AF1AB1"/>
    <w:rsid w:val="00AF33B8"/>
    <w:rsid w:val="00AF6B56"/>
    <w:rsid w:val="00AF7EC1"/>
    <w:rsid w:val="00B011FE"/>
    <w:rsid w:val="00B02820"/>
    <w:rsid w:val="00B06D8F"/>
    <w:rsid w:val="00B1039F"/>
    <w:rsid w:val="00B13BCD"/>
    <w:rsid w:val="00B14189"/>
    <w:rsid w:val="00B20828"/>
    <w:rsid w:val="00B27B63"/>
    <w:rsid w:val="00B3015A"/>
    <w:rsid w:val="00B32104"/>
    <w:rsid w:val="00B336B4"/>
    <w:rsid w:val="00B420B9"/>
    <w:rsid w:val="00B50FA2"/>
    <w:rsid w:val="00B53219"/>
    <w:rsid w:val="00B546EB"/>
    <w:rsid w:val="00B56332"/>
    <w:rsid w:val="00B61841"/>
    <w:rsid w:val="00B67205"/>
    <w:rsid w:val="00B701C0"/>
    <w:rsid w:val="00B74B5F"/>
    <w:rsid w:val="00B752D6"/>
    <w:rsid w:val="00B86052"/>
    <w:rsid w:val="00B93654"/>
    <w:rsid w:val="00B957B9"/>
    <w:rsid w:val="00B97ABC"/>
    <w:rsid w:val="00BA0BA4"/>
    <w:rsid w:val="00BA4345"/>
    <w:rsid w:val="00BA4D0B"/>
    <w:rsid w:val="00BA5C4F"/>
    <w:rsid w:val="00BB2690"/>
    <w:rsid w:val="00BC623C"/>
    <w:rsid w:val="00BD0448"/>
    <w:rsid w:val="00BD59B2"/>
    <w:rsid w:val="00BD72C3"/>
    <w:rsid w:val="00BE4ACA"/>
    <w:rsid w:val="00BF2A46"/>
    <w:rsid w:val="00BF6017"/>
    <w:rsid w:val="00C0577E"/>
    <w:rsid w:val="00C05E8E"/>
    <w:rsid w:val="00C05EDA"/>
    <w:rsid w:val="00C138EB"/>
    <w:rsid w:val="00C153A5"/>
    <w:rsid w:val="00C1562F"/>
    <w:rsid w:val="00C208EB"/>
    <w:rsid w:val="00C228AC"/>
    <w:rsid w:val="00C23BB2"/>
    <w:rsid w:val="00C276AE"/>
    <w:rsid w:val="00C4594F"/>
    <w:rsid w:val="00C45E11"/>
    <w:rsid w:val="00C50F20"/>
    <w:rsid w:val="00C515D1"/>
    <w:rsid w:val="00C607BF"/>
    <w:rsid w:val="00C634D1"/>
    <w:rsid w:val="00C66FBA"/>
    <w:rsid w:val="00C71A39"/>
    <w:rsid w:val="00C9578B"/>
    <w:rsid w:val="00CA133A"/>
    <w:rsid w:val="00CB5CA1"/>
    <w:rsid w:val="00CC4D37"/>
    <w:rsid w:val="00CD2FB7"/>
    <w:rsid w:val="00CD682B"/>
    <w:rsid w:val="00CE7FDC"/>
    <w:rsid w:val="00D01D84"/>
    <w:rsid w:val="00D054C0"/>
    <w:rsid w:val="00D15B61"/>
    <w:rsid w:val="00D21A37"/>
    <w:rsid w:val="00D22573"/>
    <w:rsid w:val="00D320B6"/>
    <w:rsid w:val="00D471B8"/>
    <w:rsid w:val="00D5101B"/>
    <w:rsid w:val="00D512DA"/>
    <w:rsid w:val="00D51364"/>
    <w:rsid w:val="00D541A1"/>
    <w:rsid w:val="00D56FEF"/>
    <w:rsid w:val="00D62D60"/>
    <w:rsid w:val="00D6323A"/>
    <w:rsid w:val="00D7378C"/>
    <w:rsid w:val="00D85C5A"/>
    <w:rsid w:val="00D868AE"/>
    <w:rsid w:val="00DA3223"/>
    <w:rsid w:val="00DB5B5B"/>
    <w:rsid w:val="00DE0976"/>
    <w:rsid w:val="00DE7709"/>
    <w:rsid w:val="00DF1D94"/>
    <w:rsid w:val="00DF560B"/>
    <w:rsid w:val="00E01D5F"/>
    <w:rsid w:val="00E047A3"/>
    <w:rsid w:val="00E1105C"/>
    <w:rsid w:val="00E15A0D"/>
    <w:rsid w:val="00E17BAE"/>
    <w:rsid w:val="00E20D01"/>
    <w:rsid w:val="00E3016A"/>
    <w:rsid w:val="00E3516F"/>
    <w:rsid w:val="00E35521"/>
    <w:rsid w:val="00E44B36"/>
    <w:rsid w:val="00E55A82"/>
    <w:rsid w:val="00E67E64"/>
    <w:rsid w:val="00E70174"/>
    <w:rsid w:val="00E744CD"/>
    <w:rsid w:val="00E80A12"/>
    <w:rsid w:val="00E831C0"/>
    <w:rsid w:val="00E858FD"/>
    <w:rsid w:val="00E859B9"/>
    <w:rsid w:val="00E938B8"/>
    <w:rsid w:val="00E951D6"/>
    <w:rsid w:val="00EA411B"/>
    <w:rsid w:val="00EA4598"/>
    <w:rsid w:val="00EB54DA"/>
    <w:rsid w:val="00EB6031"/>
    <w:rsid w:val="00EC225E"/>
    <w:rsid w:val="00EC27E8"/>
    <w:rsid w:val="00ED5D3F"/>
    <w:rsid w:val="00EE4C61"/>
    <w:rsid w:val="00EE770F"/>
    <w:rsid w:val="00EF4C17"/>
    <w:rsid w:val="00F07DC6"/>
    <w:rsid w:val="00F114CB"/>
    <w:rsid w:val="00F16385"/>
    <w:rsid w:val="00F21783"/>
    <w:rsid w:val="00F34AD9"/>
    <w:rsid w:val="00F36E35"/>
    <w:rsid w:val="00F42B22"/>
    <w:rsid w:val="00F463EB"/>
    <w:rsid w:val="00F47F1A"/>
    <w:rsid w:val="00F5243A"/>
    <w:rsid w:val="00F52D6E"/>
    <w:rsid w:val="00F54964"/>
    <w:rsid w:val="00F55903"/>
    <w:rsid w:val="00F63197"/>
    <w:rsid w:val="00F731A2"/>
    <w:rsid w:val="00F746F0"/>
    <w:rsid w:val="00F8007C"/>
    <w:rsid w:val="00F874D4"/>
    <w:rsid w:val="00F96713"/>
    <w:rsid w:val="00F9734A"/>
    <w:rsid w:val="00F9748A"/>
    <w:rsid w:val="00FA34BD"/>
    <w:rsid w:val="00FB6CA6"/>
    <w:rsid w:val="00FB762C"/>
    <w:rsid w:val="00FC47E4"/>
    <w:rsid w:val="00FD11DD"/>
    <w:rsid w:val="00FD6B77"/>
    <w:rsid w:val="00FE4BDF"/>
    <w:rsid w:val="00FE6796"/>
    <w:rsid w:val="00FF08E3"/>
    <w:rsid w:val="00FF1195"/>
    <w:rsid w:val="00FF3B89"/>
    <w:rsid w:val="00FF42A1"/>
    <w:rsid w:val="00FF6542"/>
    <w:rsid w:val="00FF6984"/>
    <w:rsid w:val="00FF7D8F"/>
    <w:rsid w:val="021316BD"/>
    <w:rsid w:val="02C57590"/>
    <w:rsid w:val="0418272C"/>
    <w:rsid w:val="05BA1B77"/>
    <w:rsid w:val="06881A16"/>
    <w:rsid w:val="07774D03"/>
    <w:rsid w:val="08AE3FB2"/>
    <w:rsid w:val="0A2313AB"/>
    <w:rsid w:val="0B236E3A"/>
    <w:rsid w:val="0FC20733"/>
    <w:rsid w:val="121A1EDA"/>
    <w:rsid w:val="145E3681"/>
    <w:rsid w:val="14750172"/>
    <w:rsid w:val="159221C7"/>
    <w:rsid w:val="164425DD"/>
    <w:rsid w:val="1C062DD8"/>
    <w:rsid w:val="1D0778C8"/>
    <w:rsid w:val="1E631ACD"/>
    <w:rsid w:val="1ECF3DBA"/>
    <w:rsid w:val="1FBC3DCB"/>
    <w:rsid w:val="20282ABE"/>
    <w:rsid w:val="215F7C45"/>
    <w:rsid w:val="22493B84"/>
    <w:rsid w:val="29BA4C6D"/>
    <w:rsid w:val="2A141C64"/>
    <w:rsid w:val="2A867B94"/>
    <w:rsid w:val="2B281DD6"/>
    <w:rsid w:val="2B4C3FC1"/>
    <w:rsid w:val="2CA76D1B"/>
    <w:rsid w:val="2FF05073"/>
    <w:rsid w:val="30445CC8"/>
    <w:rsid w:val="32EB7638"/>
    <w:rsid w:val="33044897"/>
    <w:rsid w:val="35CA5E5F"/>
    <w:rsid w:val="364C4CAA"/>
    <w:rsid w:val="371B4269"/>
    <w:rsid w:val="37FE6FBB"/>
    <w:rsid w:val="384E4E3A"/>
    <w:rsid w:val="3B320FCF"/>
    <w:rsid w:val="3C5543F6"/>
    <w:rsid w:val="3E365A5C"/>
    <w:rsid w:val="3E452395"/>
    <w:rsid w:val="3E8C7712"/>
    <w:rsid w:val="3EC23DD2"/>
    <w:rsid w:val="40B87A98"/>
    <w:rsid w:val="42E822B2"/>
    <w:rsid w:val="45876F66"/>
    <w:rsid w:val="470C3D6F"/>
    <w:rsid w:val="4A274795"/>
    <w:rsid w:val="4C0E23F6"/>
    <w:rsid w:val="4CD0417B"/>
    <w:rsid w:val="4D9C51CB"/>
    <w:rsid w:val="4E6A720C"/>
    <w:rsid w:val="4EB5443D"/>
    <w:rsid w:val="50887D37"/>
    <w:rsid w:val="50C44F46"/>
    <w:rsid w:val="51213B2B"/>
    <w:rsid w:val="545E58C9"/>
    <w:rsid w:val="5A3A0990"/>
    <w:rsid w:val="5AEE2A61"/>
    <w:rsid w:val="5B1D6259"/>
    <w:rsid w:val="5D966B10"/>
    <w:rsid w:val="5EAD7239"/>
    <w:rsid w:val="5ED223C3"/>
    <w:rsid w:val="5EF71641"/>
    <w:rsid w:val="600F180E"/>
    <w:rsid w:val="628E5499"/>
    <w:rsid w:val="664E30F8"/>
    <w:rsid w:val="68DA149E"/>
    <w:rsid w:val="6B3B4F7A"/>
    <w:rsid w:val="6C47734D"/>
    <w:rsid w:val="6DBD5828"/>
    <w:rsid w:val="6DEF247D"/>
    <w:rsid w:val="6FAD4F05"/>
    <w:rsid w:val="703C4E17"/>
    <w:rsid w:val="70B538D1"/>
    <w:rsid w:val="70CE4764"/>
    <w:rsid w:val="73C0335A"/>
    <w:rsid w:val="73DD5B1D"/>
    <w:rsid w:val="74793124"/>
    <w:rsid w:val="74BA2F16"/>
    <w:rsid w:val="76B61293"/>
    <w:rsid w:val="77377774"/>
    <w:rsid w:val="78A93538"/>
    <w:rsid w:val="78DB493B"/>
    <w:rsid w:val="7C4F040E"/>
    <w:rsid w:val="7EF63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B2D9"/>
  <w15:docId w15:val="{985A438C-4728-4E71-A912-41298240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方正仿宋_GBK" w:hAnsi="Times New Roman"/>
      <w:kern w:val="2"/>
      <w:sz w:val="3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uiPriority w:val="9"/>
    <w:unhideWhenUsed/>
    <w:qFormat/>
    <w:pPr>
      <w:keepNext/>
      <w:keepLines/>
      <w:spacing w:line="360" w:lineRule="auto"/>
      <w:ind w:firstLineChars="200" w:firstLine="200"/>
      <w:outlineLvl w:val="2"/>
    </w:pPr>
    <w:rPr>
      <w:rFonts w:eastAsia="仿宋" w:cs="楷体_GB2312"/>
      <w:b/>
      <w:bCs/>
      <w:szCs w:val="32"/>
    </w:rPr>
  </w:style>
  <w:style w:type="paragraph" w:styleId="4">
    <w:name w:val="heading 4"/>
    <w:basedOn w:val="a"/>
    <w:next w:val="a"/>
    <w:link w:val="41"/>
    <w:uiPriority w:val="9"/>
    <w:unhideWhenUsed/>
    <w:qFormat/>
    <w:pPr>
      <w:keepNext/>
      <w:keepLines/>
      <w:spacing w:before="280" w:after="290" w:line="376" w:lineRule="auto"/>
      <w:outlineLvl w:val="3"/>
    </w:pPr>
    <w:rPr>
      <w:rFonts w:ascii="Calibri Light" w:eastAsia="宋体" w:hAnsi="Calibri Light"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pPr>
      <w:spacing w:after="120" w:line="360" w:lineRule="auto"/>
      <w:ind w:firstLineChars="200" w:firstLine="640"/>
    </w:pPr>
    <w:rPr>
      <w:rFonts w:eastAsia="仿宋" w:cs="楷体_GB2312"/>
      <w:bCs/>
      <w:szCs w:val="32"/>
    </w:rPr>
  </w:style>
  <w:style w:type="paragraph" w:styleId="a5">
    <w:name w:val="annotation text"/>
    <w:basedOn w:val="a"/>
    <w:link w:val="a6"/>
    <w:uiPriority w:val="99"/>
    <w:unhideWhenUsed/>
    <w:qFormat/>
    <w:pPr>
      <w:jc w:val="left"/>
    </w:pPr>
  </w:style>
  <w:style w:type="paragraph" w:styleId="a7">
    <w:name w:val="Body Text Indent"/>
    <w:basedOn w:val="a"/>
    <w:link w:val="a8"/>
    <w:uiPriority w:val="99"/>
    <w:unhideWhenUsed/>
    <w:qFormat/>
    <w:pPr>
      <w:spacing w:after="120" w:line="360" w:lineRule="auto"/>
      <w:ind w:leftChars="200" w:left="420" w:firstLineChars="200" w:firstLine="640"/>
    </w:pPr>
    <w:rPr>
      <w:rFonts w:eastAsia="仿宋" w:cs="楷体_GB2312"/>
      <w:bCs/>
      <w:szCs w:val="32"/>
    </w:rPr>
  </w:style>
  <w:style w:type="paragraph" w:styleId="TOC3">
    <w:name w:val="toc 3"/>
    <w:basedOn w:val="a"/>
    <w:next w:val="a"/>
    <w:uiPriority w:val="39"/>
    <w:unhideWhenUsed/>
    <w:qFormat/>
    <w:pPr>
      <w:spacing w:line="360" w:lineRule="auto"/>
      <w:ind w:leftChars="200" w:left="200"/>
    </w:pPr>
    <w:rPr>
      <w:rFonts w:eastAsia="仿宋" w:cs="楷体_GB2312"/>
      <w:bCs/>
      <w:sz w:val="28"/>
      <w:szCs w:val="32"/>
    </w:rPr>
  </w:style>
  <w:style w:type="paragraph" w:styleId="21">
    <w:name w:val="Body Text Indent 2"/>
    <w:basedOn w:val="a"/>
    <w:link w:val="22"/>
    <w:uiPriority w:val="99"/>
    <w:unhideWhenUsed/>
    <w:qFormat/>
    <w:pPr>
      <w:spacing w:after="120" w:line="480" w:lineRule="auto"/>
      <w:ind w:leftChars="200" w:left="420" w:firstLineChars="200" w:firstLine="640"/>
    </w:pPr>
    <w:rPr>
      <w:rFonts w:eastAsia="仿宋" w:cs="楷体_GB2312"/>
      <w:bCs/>
      <w:szCs w:val="32"/>
    </w:rPr>
  </w:style>
  <w:style w:type="paragraph" w:styleId="a9">
    <w:name w:val="Balloon Text"/>
    <w:basedOn w:val="a"/>
    <w:link w:val="aa"/>
    <w:uiPriority w:val="99"/>
    <w:unhideWhenUsed/>
    <w:qFormat/>
    <w:pPr>
      <w:ind w:firstLineChars="200" w:firstLine="640"/>
    </w:pPr>
    <w:rPr>
      <w:rFonts w:eastAsia="仿宋" w:cs="楷体_GB2312"/>
      <w:bCs/>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pPr>
    <w:rPr>
      <w:rFonts w:eastAsia="仿宋" w:cs="Times New Roman"/>
      <w:b/>
      <w:sz w:val="28"/>
      <w:szCs w:val="28"/>
    </w:rPr>
  </w:style>
  <w:style w:type="paragraph" w:styleId="TOC2">
    <w:name w:val="toc 2"/>
    <w:basedOn w:val="a"/>
    <w:next w:val="a"/>
    <w:uiPriority w:val="39"/>
    <w:unhideWhenUsed/>
    <w:qFormat/>
    <w:pPr>
      <w:tabs>
        <w:tab w:val="right" w:leader="dot" w:pos="8296"/>
      </w:tabs>
      <w:spacing w:line="360" w:lineRule="auto"/>
      <w:ind w:leftChars="100" w:left="320"/>
    </w:pPr>
    <w:rPr>
      <w:rFonts w:eastAsia="仿宋" w:cs="楷体_GB2312"/>
      <w:bCs/>
      <w:sz w:val="28"/>
      <w:szCs w:val="2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5"/>
    <w:next w:val="a5"/>
    <w:link w:val="af1"/>
    <w:uiPriority w:val="99"/>
    <w:unhideWhenUsed/>
    <w:qFormat/>
    <w:pPr>
      <w:spacing w:line="360" w:lineRule="auto"/>
      <w:ind w:firstLineChars="200" w:firstLine="640"/>
    </w:pPr>
    <w:rPr>
      <w:rFonts w:eastAsia="仿宋" w:cs="楷体_GB2312"/>
      <w:b/>
      <w:bCs/>
      <w:szCs w:val="32"/>
    </w:rPr>
  </w:style>
  <w:style w:type="paragraph" w:styleId="23">
    <w:name w:val="Body Text First Indent 2"/>
    <w:basedOn w:val="a7"/>
    <w:link w:val="24"/>
    <w:uiPriority w:val="99"/>
    <w:unhideWhenUsed/>
    <w:qFormat/>
    <w:pPr>
      <w:ind w:firstLine="420"/>
    </w:pPr>
  </w:style>
  <w:style w:type="table" w:styleId="af2">
    <w:name w:val="Table Grid"/>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rPr>
  </w:style>
  <w:style w:type="character" w:styleId="af4">
    <w:name w:val="page number"/>
    <w:basedOn w:val="a1"/>
    <w:qFormat/>
  </w:style>
  <w:style w:type="character" w:styleId="af5">
    <w:name w:val="Emphasis"/>
    <w:basedOn w:val="a1"/>
    <w:uiPriority w:val="20"/>
    <w:qFormat/>
  </w:style>
  <w:style w:type="character" w:styleId="af6">
    <w:name w:val="Hyperlink"/>
    <w:basedOn w:val="a1"/>
    <w:uiPriority w:val="99"/>
    <w:unhideWhenUsed/>
    <w:qFormat/>
    <w:rPr>
      <w:color w:val="0563C1" w:themeColor="hyperlink"/>
      <w:u w:val="single"/>
    </w:rPr>
  </w:style>
  <w:style w:type="character" w:styleId="af7">
    <w:name w:val="annotation reference"/>
    <w:basedOn w:val="a1"/>
    <w:uiPriority w:val="99"/>
    <w:unhideWhenUsed/>
    <w:qFormat/>
    <w:rPr>
      <w:sz w:val="21"/>
      <w:szCs w:val="21"/>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customStyle="1" w:styleId="25">
    <w:name w:val="正文2"/>
    <w:basedOn w:val="a"/>
    <w:next w:val="a"/>
    <w:qFormat/>
    <w:rPr>
      <w:rFonts w:ascii="仿宋_GB2312" w:eastAsia="仿宋_GB2312"/>
      <w:szCs w:val="20"/>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10">
    <w:name w:val="标题 1 字符"/>
    <w:basedOn w:val="a1"/>
    <w:link w:val="1"/>
    <w:uiPriority w:val="99"/>
    <w:qFormat/>
    <w:rPr>
      <w:b/>
      <w:bCs/>
      <w:kern w:val="44"/>
      <w:sz w:val="44"/>
      <w:szCs w:val="44"/>
    </w:rPr>
  </w:style>
  <w:style w:type="character" w:customStyle="1" w:styleId="30">
    <w:name w:val="标题 3 字符"/>
    <w:basedOn w:val="a1"/>
    <w:link w:val="3"/>
    <w:uiPriority w:val="9"/>
    <w:qFormat/>
    <w:rPr>
      <w:rFonts w:ascii="Times New Roman" w:eastAsia="仿宋" w:hAnsi="Times New Roman" w:cs="楷体_GB2312"/>
      <w:b/>
      <w:bCs/>
      <w:sz w:val="32"/>
      <w:szCs w:val="32"/>
    </w:rPr>
  </w:style>
  <w:style w:type="paragraph" w:customStyle="1" w:styleId="410">
    <w:name w:val="标题 41"/>
    <w:basedOn w:val="a"/>
    <w:next w:val="a"/>
    <w:uiPriority w:val="9"/>
    <w:unhideWhenUsed/>
    <w:qFormat/>
    <w:pPr>
      <w:keepNext/>
      <w:keepLines/>
      <w:spacing w:before="280" w:after="290" w:line="376" w:lineRule="auto"/>
      <w:ind w:firstLineChars="200" w:firstLine="640"/>
      <w:outlineLvl w:val="3"/>
    </w:pPr>
    <w:rPr>
      <w:rFonts w:ascii="Calibri Light" w:eastAsia="宋体" w:hAnsi="Calibri Light" w:cs="Times New Roman"/>
      <w:b/>
      <w:bCs/>
      <w:sz w:val="28"/>
      <w:szCs w:val="28"/>
    </w:rPr>
  </w:style>
  <w:style w:type="character" w:customStyle="1" w:styleId="a4">
    <w:name w:val="正文文本 字符"/>
    <w:basedOn w:val="a1"/>
    <w:link w:val="a0"/>
    <w:qFormat/>
    <w:rPr>
      <w:rFonts w:ascii="Times New Roman" w:eastAsia="仿宋" w:hAnsi="Times New Roman" w:cs="楷体_GB2312"/>
      <w:bCs/>
      <w:sz w:val="32"/>
      <w:szCs w:val="32"/>
    </w:rPr>
  </w:style>
  <w:style w:type="character" w:customStyle="1" w:styleId="a6">
    <w:name w:val="批注文字 字符"/>
    <w:basedOn w:val="a1"/>
    <w:link w:val="a5"/>
    <w:uiPriority w:val="99"/>
    <w:qFormat/>
  </w:style>
  <w:style w:type="character" w:customStyle="1" w:styleId="af1">
    <w:name w:val="批注主题 字符"/>
    <w:basedOn w:val="a6"/>
    <w:link w:val="af0"/>
    <w:uiPriority w:val="99"/>
    <w:qFormat/>
    <w:rPr>
      <w:rFonts w:ascii="Times New Roman" w:eastAsia="仿宋" w:hAnsi="Times New Roman" w:cs="楷体_GB2312"/>
      <w:b/>
      <w:bCs/>
      <w:sz w:val="32"/>
      <w:szCs w:val="32"/>
    </w:rPr>
  </w:style>
  <w:style w:type="character" w:customStyle="1" w:styleId="a8">
    <w:name w:val="正文文本缩进 字符"/>
    <w:basedOn w:val="a1"/>
    <w:link w:val="a7"/>
    <w:uiPriority w:val="99"/>
    <w:qFormat/>
    <w:rPr>
      <w:rFonts w:ascii="Times New Roman" w:eastAsia="仿宋" w:hAnsi="Times New Roman" w:cs="楷体_GB2312"/>
      <w:bCs/>
      <w:sz w:val="32"/>
      <w:szCs w:val="32"/>
    </w:rPr>
  </w:style>
  <w:style w:type="character" w:customStyle="1" w:styleId="aa">
    <w:name w:val="批注框文本 字符"/>
    <w:basedOn w:val="a1"/>
    <w:link w:val="a9"/>
    <w:uiPriority w:val="99"/>
    <w:qFormat/>
    <w:rPr>
      <w:rFonts w:ascii="Times New Roman" w:eastAsia="仿宋" w:hAnsi="Times New Roman" w:cs="楷体_GB2312"/>
      <w:bCs/>
      <w:sz w:val="18"/>
      <w:szCs w:val="18"/>
    </w:rPr>
  </w:style>
  <w:style w:type="character" w:customStyle="1" w:styleId="24">
    <w:name w:val="正文文本首行缩进 2 字符"/>
    <w:basedOn w:val="a8"/>
    <w:link w:val="23"/>
    <w:uiPriority w:val="99"/>
    <w:qFormat/>
    <w:rPr>
      <w:rFonts w:ascii="Times New Roman" w:eastAsia="仿宋" w:hAnsi="Times New Roman" w:cs="楷体_GB2312"/>
      <w:bCs/>
      <w:sz w:val="32"/>
      <w:szCs w:val="32"/>
    </w:rPr>
  </w:style>
  <w:style w:type="character" w:customStyle="1" w:styleId="11">
    <w:name w:val="超链接1"/>
    <w:basedOn w:val="a1"/>
    <w:uiPriority w:val="99"/>
    <w:unhideWhenUsed/>
    <w:qFormat/>
    <w:rPr>
      <w:color w:val="0563C1"/>
      <w:u w:val="single"/>
    </w:rPr>
  </w:style>
  <w:style w:type="paragraph" w:customStyle="1" w:styleId="12">
    <w:name w:val="列出段落1"/>
    <w:basedOn w:val="a"/>
    <w:uiPriority w:val="34"/>
    <w:qFormat/>
    <w:pPr>
      <w:adjustRightInd w:val="0"/>
      <w:spacing w:line="360" w:lineRule="atLeast"/>
      <w:ind w:firstLineChars="200" w:firstLine="420"/>
    </w:pPr>
    <w:rPr>
      <w:rFonts w:eastAsia="仿宋" w:cs="楷体_GB2312"/>
      <w:bCs/>
      <w:sz w:val="28"/>
      <w:szCs w:val="32"/>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eastAsia="en-US"/>
    </w:rPr>
  </w:style>
  <w:style w:type="table" w:customStyle="1" w:styleId="13">
    <w:name w:val="网格型1"/>
    <w:basedOn w:val="a2"/>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basedOn w:val="a1"/>
    <w:qFormat/>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eastAsia="宋体" w:hAnsi="Calibri Light" w:cs="Times New Roman"/>
      <w:b w:val="0"/>
      <w:bCs w:val="0"/>
      <w:color w:val="2E74B5"/>
      <w:kern w:val="0"/>
      <w:sz w:val="32"/>
      <w:szCs w:val="32"/>
    </w:rPr>
  </w:style>
  <w:style w:type="paragraph" w:customStyle="1" w:styleId="14">
    <w:name w:val="列表段落1"/>
    <w:basedOn w:val="a"/>
    <w:uiPriority w:val="34"/>
    <w:qFormat/>
    <w:pPr>
      <w:spacing w:line="360" w:lineRule="auto"/>
      <w:ind w:firstLineChars="200" w:firstLine="420"/>
    </w:pPr>
    <w:rPr>
      <w:rFonts w:eastAsia="仿宋" w:cs="楷体_GB2312"/>
      <w:bCs/>
      <w:szCs w:val="32"/>
    </w:rPr>
  </w:style>
  <w:style w:type="character" w:customStyle="1" w:styleId="40">
    <w:name w:val="标题 4 字符"/>
    <w:basedOn w:val="a1"/>
    <w:uiPriority w:val="9"/>
    <w:semiHidden/>
    <w:qFormat/>
    <w:rPr>
      <w:rFonts w:ascii="Calibri Light" w:eastAsia="宋体" w:hAnsi="Calibri Light" w:cs="Times New Roman"/>
      <w:b/>
      <w:bCs/>
      <w:sz w:val="28"/>
      <w:szCs w:val="28"/>
    </w:rPr>
  </w:style>
  <w:style w:type="paragraph" w:customStyle="1" w:styleId="Bodytext3">
    <w:name w:val="Body text|3"/>
    <w:basedOn w:val="a"/>
    <w:qFormat/>
    <w:pPr>
      <w:shd w:val="clear" w:color="auto" w:fill="FFFFFF"/>
      <w:spacing w:line="562" w:lineRule="exact"/>
      <w:jc w:val="distribute"/>
    </w:pPr>
    <w:rPr>
      <w:rFonts w:ascii="PMingLiU" w:eastAsia="PMingLiU" w:hAnsi="PMingLiU" w:cs="PMingLiU"/>
      <w:sz w:val="28"/>
      <w:szCs w:val="28"/>
    </w:rPr>
  </w:style>
  <w:style w:type="paragraph" w:customStyle="1" w:styleId="26">
    <w:name w:val="列表段落2"/>
    <w:basedOn w:val="a"/>
    <w:uiPriority w:val="34"/>
    <w:qFormat/>
    <w:pPr>
      <w:ind w:firstLineChars="200" w:firstLine="420"/>
    </w:pPr>
    <w:rPr>
      <w:rFonts w:ascii="等线" w:eastAsia="等线" w:hAnsi="等线" w:cs="Times New Roman"/>
    </w:rPr>
  </w:style>
  <w:style w:type="paragraph" w:customStyle="1" w:styleId="31">
    <w:name w:val="列表段落3"/>
    <w:basedOn w:val="a"/>
    <w:uiPriority w:val="34"/>
    <w:qFormat/>
    <w:pPr>
      <w:ind w:firstLineChars="200" w:firstLine="420"/>
    </w:pPr>
    <w:rPr>
      <w:rFonts w:ascii="等线" w:eastAsia="等线" w:hAnsi="等线" w:cs="Times New Roman"/>
    </w:rPr>
  </w:style>
  <w:style w:type="character" w:customStyle="1" w:styleId="15">
    <w:name w:val="未处理的提及1"/>
    <w:basedOn w:val="a1"/>
    <w:uiPriority w:val="99"/>
    <w:unhideWhenUsed/>
    <w:qFormat/>
    <w:rPr>
      <w:color w:val="605E5C"/>
      <w:shd w:val="clear" w:color="auto" w:fill="E1DFDD"/>
    </w:rPr>
  </w:style>
  <w:style w:type="table" w:customStyle="1" w:styleId="27">
    <w:name w:val="网格型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pPr>
      <w:widowControl w:val="0"/>
      <w:autoSpaceDE w:val="0"/>
      <w:autoSpaceDN w:val="0"/>
    </w:pPr>
    <w:rPr>
      <w:rFonts w:ascii="等线" w:eastAsia="等线" w:hAnsi="等线" w:cs="Times New Roman"/>
      <w:sz w:val="22"/>
      <w:lang w:eastAsia="en-US"/>
    </w:rPr>
    <w:tblPr>
      <w:tblCellMar>
        <w:top w:w="0" w:type="dxa"/>
        <w:left w:w="0" w:type="dxa"/>
        <w:bottom w:w="0" w:type="dxa"/>
        <w:right w:w="0" w:type="dxa"/>
      </w:tblCellMar>
    </w:tblPr>
  </w:style>
  <w:style w:type="character" w:customStyle="1" w:styleId="22">
    <w:name w:val="正文文本缩进 2 字符"/>
    <w:basedOn w:val="a1"/>
    <w:link w:val="21"/>
    <w:uiPriority w:val="99"/>
    <w:semiHidden/>
    <w:qFormat/>
    <w:rPr>
      <w:rFonts w:ascii="Times New Roman" w:eastAsia="仿宋" w:hAnsi="Times New Roman" w:cs="楷体_GB2312"/>
      <w:bCs/>
      <w:sz w:val="32"/>
      <w:szCs w:val="32"/>
    </w:rPr>
  </w:style>
  <w:style w:type="paragraph" w:customStyle="1" w:styleId="28">
    <w:name w:val="列出段落2"/>
    <w:basedOn w:val="a"/>
    <w:uiPriority w:val="99"/>
    <w:qFormat/>
    <w:pPr>
      <w:spacing w:line="360" w:lineRule="auto"/>
      <w:ind w:firstLineChars="200" w:firstLine="420"/>
    </w:pPr>
    <w:rPr>
      <w:rFonts w:eastAsia="仿宋" w:cs="楷体_GB2312"/>
      <w:bCs/>
      <w:szCs w:val="32"/>
    </w:rPr>
  </w:style>
  <w:style w:type="character" w:customStyle="1" w:styleId="41">
    <w:name w:val="标题 4 字符1"/>
    <w:basedOn w:val="a1"/>
    <w:link w:val="4"/>
    <w:uiPriority w:val="9"/>
    <w:semiHidden/>
    <w:qFormat/>
    <w:rPr>
      <w:rFonts w:asciiTheme="majorHAnsi" w:eastAsiaTheme="majorEastAsia" w:hAnsiTheme="majorHAnsi" w:cstheme="majorBidi"/>
      <w:b/>
      <w:bCs/>
      <w:sz w:val="28"/>
      <w:szCs w:val="28"/>
    </w:rPr>
  </w:style>
  <w:style w:type="character" w:customStyle="1" w:styleId="NormalCharacter">
    <w:name w:val="NormalCharacter"/>
    <w:qFormat/>
    <w:rPr>
      <w:kern w:val="2"/>
      <w:sz w:val="21"/>
      <w:szCs w:val="22"/>
      <w:lang w:val="en-US" w:eastAsia="zh-CN" w:bidi="ar-SA"/>
    </w:rPr>
  </w:style>
  <w:style w:type="table" w:customStyle="1" w:styleId="32">
    <w:name w:val="网格型3"/>
    <w:basedOn w:val="a2"/>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ascii="等线" w:eastAsia="等线" w:hAnsi="等线" w:cs="Times New Roman"/>
      <w:sz w:val="22"/>
      <w:lang w:eastAsia="en-US"/>
    </w:rPr>
    <w:tblPr>
      <w:tblCellMar>
        <w:top w:w="0" w:type="dxa"/>
        <w:left w:w="0" w:type="dxa"/>
        <w:bottom w:w="0" w:type="dxa"/>
        <w:right w:w="0" w:type="dxa"/>
      </w:tblCellMar>
    </w:tblPr>
  </w:style>
  <w:style w:type="paragraph" w:customStyle="1" w:styleId="TOC20">
    <w:name w:val="TOC 标题2"/>
    <w:basedOn w:val="1"/>
    <w:next w:val="a"/>
    <w:uiPriority w:val="39"/>
    <w:unhideWhenUsed/>
    <w:qFormat/>
    <w:pPr>
      <w:keepNext w:val="0"/>
      <w:keepLines w:val="0"/>
      <w:widowControl/>
      <w:autoSpaceDE w:val="0"/>
      <w:autoSpaceDN w:val="0"/>
      <w:adjustRightInd w:val="0"/>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table" w:customStyle="1" w:styleId="42">
    <w:name w:val="网格型4"/>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2CharCharCharChar">
    <w:name w:val="Char Char Char Char Char Char2 Char Char Char Char"/>
    <w:basedOn w:val="a"/>
    <w:qFormat/>
    <w:rPr>
      <w:rFonts w:eastAsia="宋体" w:cs="Times New Roman"/>
      <w:szCs w:val="21"/>
    </w:rPr>
  </w:style>
  <w:style w:type="paragraph" w:customStyle="1" w:styleId="33">
    <w:name w:val="列出段落3"/>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chart" Target="charts/chart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80" b="0" i="0" u="none" strike="noStrike" kern="1200" baseline="0">
                <a:solidFill>
                  <a:schemeClr val="tx1"/>
                </a:solidFill>
                <a:latin typeface="Times New Roman" panose="02020603050405020304" charset="0"/>
                <a:ea typeface="+mn-ea"/>
                <a:cs typeface="Times New Roman" panose="02020603050405020304" charset="0"/>
              </a:defRPr>
            </a:pPr>
            <a:r>
              <a:rPr lang="zh-CN"/>
              <a:t>（亿元）</a:t>
            </a:r>
          </a:p>
        </c:rich>
      </c:tx>
      <c:layout>
        <c:manualLayout>
          <c:xMode val="edge"/>
          <c:yMode val="edge"/>
          <c:x val="1.8679305711785999E-3"/>
          <c:y val="5.2111104222208396E-3"/>
        </c:manualLayout>
      </c:layout>
      <c:overlay val="0"/>
      <c:spPr>
        <a:noFill/>
        <a:ln>
          <a:noFill/>
        </a:ln>
        <a:effectLst/>
      </c:spPr>
    </c:title>
    <c:autoTitleDeleted val="0"/>
    <c:plotArea>
      <c:layout>
        <c:manualLayout>
          <c:layoutTarget val="inner"/>
          <c:xMode val="edge"/>
          <c:yMode val="edge"/>
          <c:x val="9.4867083084103895E-2"/>
          <c:y val="0.13692946058091299"/>
          <c:w val="0.69675763185851802"/>
          <c:h val="0.75271248331895302"/>
        </c:manualLayout>
      </c:layout>
      <c:barChart>
        <c:barDir val="col"/>
        <c:grouping val="stacked"/>
        <c:varyColors val="0"/>
        <c:ser>
          <c:idx val="0"/>
          <c:order val="0"/>
          <c:tx>
            <c:strRef>
              <c:f>Sheet1!$B$1</c:f>
              <c:strCache>
                <c:ptCount val="1"/>
                <c:pt idx="0">
                  <c:v>直接收入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83.1</c:v>
                </c:pt>
                <c:pt idx="1">
                  <c:v>93.6</c:v>
                </c:pt>
                <c:pt idx="2">
                  <c:v>110.2</c:v>
                </c:pt>
                <c:pt idx="3">
                  <c:v>134.1</c:v>
                </c:pt>
                <c:pt idx="4">
                  <c:v>112.3</c:v>
                </c:pt>
              </c:numCache>
            </c:numRef>
          </c:val>
          <c:extLst>
            <c:ext xmlns:c16="http://schemas.microsoft.com/office/drawing/2014/chart" uri="{C3380CC4-5D6E-409C-BE32-E72D297353CC}">
              <c16:uniqueId val="{00000000-40BC-4EB2-8C6D-D60FC801F4EE}"/>
            </c:ext>
          </c:extLst>
        </c:ser>
        <c:ser>
          <c:idx val="1"/>
          <c:order val="1"/>
          <c:tx>
            <c:strRef>
              <c:f>Sheet1!$C$1</c:f>
              <c:strCache>
                <c:ptCount val="1"/>
                <c:pt idx="0">
                  <c:v>带动收入</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747.6</c:v>
                </c:pt>
                <c:pt idx="1">
                  <c:v>838.3</c:v>
                </c:pt>
                <c:pt idx="2">
                  <c:v>981.7</c:v>
                </c:pt>
                <c:pt idx="3">
                  <c:v>1198.5</c:v>
                </c:pt>
                <c:pt idx="4">
                  <c:v>940.9</c:v>
                </c:pt>
              </c:numCache>
            </c:numRef>
          </c:val>
          <c:extLst>
            <c:ext xmlns:c16="http://schemas.microsoft.com/office/drawing/2014/chart" uri="{C3380CC4-5D6E-409C-BE32-E72D297353CC}">
              <c16:uniqueId val="{00000001-40BC-4EB2-8C6D-D60FC801F4EE}"/>
            </c:ext>
          </c:extLst>
        </c:ser>
        <c:dLbls>
          <c:showLegendKey val="0"/>
          <c:showVal val="1"/>
          <c:showCatName val="0"/>
          <c:showSerName val="0"/>
          <c:showPercent val="0"/>
          <c:showBubbleSize val="0"/>
        </c:dLbls>
        <c:gapWidth val="150"/>
        <c:overlap val="100"/>
        <c:axId val="131980288"/>
        <c:axId val="168822656"/>
      </c:barChart>
      <c:lineChart>
        <c:grouping val="standard"/>
        <c:varyColors val="0"/>
        <c:ser>
          <c:idx val="2"/>
          <c:order val="2"/>
          <c:tx>
            <c:strRef>
              <c:f>Sheet1!$D$1</c:f>
              <c:strCache>
                <c:ptCount val="1"/>
                <c:pt idx="0">
                  <c:v>总收入</c:v>
                </c:pt>
              </c:strCache>
            </c:strRef>
          </c:tx>
          <c:spPr>
            <a:ln w="28575" cap="rnd" cmpd="sng" algn="ctr">
              <a:solidFill>
                <a:schemeClr val="accent3"/>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pt idx="0">
                  <c:v>830.7</c:v>
                </c:pt>
                <c:pt idx="1">
                  <c:v>931.9</c:v>
                </c:pt>
                <c:pt idx="2">
                  <c:v>1091.9000000000001</c:v>
                </c:pt>
                <c:pt idx="3">
                  <c:v>1332.6</c:v>
                </c:pt>
                <c:pt idx="4">
                  <c:v>1053.2</c:v>
                </c:pt>
              </c:numCache>
            </c:numRef>
          </c:val>
          <c:smooth val="0"/>
          <c:extLst>
            <c:ext xmlns:c16="http://schemas.microsoft.com/office/drawing/2014/chart" uri="{C3380CC4-5D6E-409C-BE32-E72D297353CC}">
              <c16:uniqueId val="{00000002-40BC-4EB2-8C6D-D60FC801F4EE}"/>
            </c:ext>
          </c:extLst>
        </c:ser>
        <c:dLbls>
          <c:showLegendKey val="0"/>
          <c:showVal val="1"/>
          <c:showCatName val="0"/>
          <c:showSerName val="0"/>
          <c:showPercent val="0"/>
          <c:showBubbleSize val="0"/>
        </c:dLbls>
        <c:marker val="1"/>
        <c:smooth val="0"/>
        <c:axId val="168824192"/>
        <c:axId val="168825984"/>
      </c:lineChart>
      <c:catAx>
        <c:axId val="13198028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68822656"/>
        <c:crosses val="autoZero"/>
        <c:auto val="1"/>
        <c:lblAlgn val="ctr"/>
        <c:lblOffset val="100"/>
        <c:noMultiLvlLbl val="0"/>
      </c:catAx>
      <c:valAx>
        <c:axId val="1688226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31980288"/>
        <c:crosses val="autoZero"/>
        <c:crossBetween val="between"/>
      </c:valAx>
      <c:catAx>
        <c:axId val="168824192"/>
        <c:scaling>
          <c:orientation val="minMax"/>
        </c:scaling>
        <c:delete val="1"/>
        <c:axPos val="b"/>
        <c:numFmt formatCode="General" sourceLinked="1"/>
        <c:majorTickMark val="none"/>
        <c:minorTickMark val="none"/>
        <c:tickLblPos val="nextTo"/>
        <c:crossAx val="168825984"/>
        <c:crosses val="autoZero"/>
        <c:auto val="1"/>
        <c:lblAlgn val="ctr"/>
        <c:lblOffset val="100"/>
        <c:noMultiLvlLbl val="0"/>
      </c:catAx>
      <c:valAx>
        <c:axId val="168825984"/>
        <c:scaling>
          <c:orientation val="minMax"/>
        </c:scaling>
        <c:delete val="1"/>
        <c:axPos val="r"/>
        <c:numFmt formatCode="General" sourceLinked="1"/>
        <c:majorTickMark val="none"/>
        <c:minorTickMark val="none"/>
        <c:tickLblPos val="nextTo"/>
        <c:crossAx val="168824192"/>
        <c:crosses val="max"/>
        <c:crossBetween val="between"/>
      </c:valAx>
      <c:spPr>
        <a:noFill/>
        <a:ln>
          <a:noFill/>
        </a:ln>
        <a:effectLst/>
      </c:spPr>
    </c:plotArea>
    <c:legend>
      <c:legendPos val="r"/>
      <c:layout>
        <c:manualLayout>
          <c:xMode val="edge"/>
          <c:yMode val="edge"/>
          <c:x val="0.82142857142857095"/>
          <c:y val="0.49851335138848102"/>
          <c:w val="0.163690476190476"/>
          <c:h val="0.359521532354213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lgn="just">
        <a:defRPr lang="zh-CN" sz="900" b="0">
          <a:solidFill>
            <a:schemeClr val="tx1"/>
          </a:solidFill>
          <a:latin typeface="Times New Roman" panose="02020603050405020304" charset="0"/>
          <a:cs typeface="Times New Roman" panose="02020603050405020304"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l">
              <a:defRPr lang="zh-CN" sz="1080" b="0" i="0" u="none" strike="noStrike" kern="1200" baseline="0">
                <a:solidFill>
                  <a:schemeClr val="tx1"/>
                </a:solidFill>
                <a:latin typeface="Times New Roman" panose="02020603050405020304" charset="0"/>
                <a:ea typeface="+mn-ea"/>
                <a:cs typeface="Times New Roman" panose="02020603050405020304" charset="0"/>
              </a:defRPr>
            </a:pPr>
            <a:r>
              <a:rPr lang="zh-CN"/>
              <a:t>（个）</a:t>
            </a:r>
          </a:p>
        </c:rich>
      </c:tx>
      <c:layout>
        <c:manualLayout>
          <c:xMode val="edge"/>
          <c:yMode val="edge"/>
          <c:x val="1.8679950186799501E-3"/>
          <c:y val="2.2688598979013E-2"/>
        </c:manualLayout>
      </c:layout>
      <c:overlay val="0"/>
      <c:spPr>
        <a:noFill/>
        <a:ln>
          <a:noFill/>
        </a:ln>
        <a:effectLst/>
      </c:spPr>
    </c:title>
    <c:autoTitleDeleted val="0"/>
    <c:plotArea>
      <c:layout>
        <c:manualLayout>
          <c:layoutTarget val="inner"/>
          <c:xMode val="edge"/>
          <c:yMode val="edge"/>
          <c:x val="8.1019013345623198E-2"/>
          <c:y val="0.12478729438457201"/>
          <c:w val="0.90154636648003095"/>
          <c:h val="0.70098927651060094"/>
        </c:manualLayout>
      </c:layout>
      <c:barChart>
        <c:barDir val="col"/>
        <c:grouping val="clustered"/>
        <c:varyColors val="0"/>
        <c:ser>
          <c:idx val="0"/>
          <c:order val="0"/>
          <c:tx>
            <c:strRef>
              <c:f>Sheet1!$B$1</c:f>
              <c:strCache>
                <c:ptCount val="1"/>
                <c:pt idx="0">
                  <c:v>展览</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196</c:v>
                </c:pt>
                <c:pt idx="1">
                  <c:v>207</c:v>
                </c:pt>
                <c:pt idx="2">
                  <c:v>243</c:v>
                </c:pt>
                <c:pt idx="3">
                  <c:v>302</c:v>
                </c:pt>
                <c:pt idx="4">
                  <c:v>229</c:v>
                </c:pt>
              </c:numCache>
            </c:numRef>
          </c:val>
          <c:extLst>
            <c:ext xmlns:c16="http://schemas.microsoft.com/office/drawing/2014/chart" uri="{C3380CC4-5D6E-409C-BE32-E72D297353CC}">
              <c16:uniqueId val="{00000000-0CAB-4B2E-AFC6-BB2DC1EC5EA2}"/>
            </c:ext>
          </c:extLst>
        </c:ser>
        <c:ser>
          <c:idx val="1"/>
          <c:order val="1"/>
          <c:tx>
            <c:strRef>
              <c:f>Sheet1!$C$1</c:f>
              <c:strCache>
                <c:ptCount val="1"/>
                <c:pt idx="0">
                  <c:v>会议</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143</c:v>
                </c:pt>
                <c:pt idx="1">
                  <c:v>171</c:v>
                </c:pt>
                <c:pt idx="2">
                  <c:v>210</c:v>
                </c:pt>
                <c:pt idx="3">
                  <c:v>278</c:v>
                </c:pt>
                <c:pt idx="4">
                  <c:v>367</c:v>
                </c:pt>
              </c:numCache>
            </c:numRef>
          </c:val>
          <c:extLst>
            <c:ext xmlns:c16="http://schemas.microsoft.com/office/drawing/2014/chart" uri="{C3380CC4-5D6E-409C-BE32-E72D297353CC}">
              <c16:uniqueId val="{00000001-0CAB-4B2E-AFC6-BB2DC1EC5EA2}"/>
            </c:ext>
          </c:extLst>
        </c:ser>
        <c:ser>
          <c:idx val="2"/>
          <c:order val="2"/>
          <c:tx>
            <c:strRef>
              <c:f>Sheet1!$D$1</c:f>
              <c:strCache>
                <c:ptCount val="1"/>
                <c:pt idx="0">
                  <c:v>节庆</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pt idx="0">
                  <c:v>200</c:v>
                </c:pt>
                <c:pt idx="1">
                  <c:v>218</c:v>
                </c:pt>
                <c:pt idx="2">
                  <c:v>236</c:v>
                </c:pt>
                <c:pt idx="3">
                  <c:v>286</c:v>
                </c:pt>
                <c:pt idx="4">
                  <c:v>286</c:v>
                </c:pt>
              </c:numCache>
            </c:numRef>
          </c:val>
          <c:extLst>
            <c:ext xmlns:c16="http://schemas.microsoft.com/office/drawing/2014/chart" uri="{C3380CC4-5D6E-409C-BE32-E72D297353CC}">
              <c16:uniqueId val="{00000002-0CAB-4B2E-AFC6-BB2DC1EC5EA2}"/>
            </c:ext>
          </c:extLst>
        </c:ser>
        <c:dLbls>
          <c:showLegendKey val="0"/>
          <c:showVal val="1"/>
          <c:showCatName val="0"/>
          <c:showSerName val="0"/>
          <c:showPercent val="0"/>
          <c:showBubbleSize val="0"/>
        </c:dLbls>
        <c:gapWidth val="219"/>
        <c:overlap val="-27"/>
        <c:axId val="170139648"/>
        <c:axId val="170141184"/>
      </c:barChart>
      <c:catAx>
        <c:axId val="17013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70141184"/>
        <c:crosses val="autoZero"/>
        <c:auto val="1"/>
        <c:lblAlgn val="ctr"/>
        <c:lblOffset val="100"/>
        <c:noMultiLvlLbl val="0"/>
      </c:catAx>
      <c:valAx>
        <c:axId val="170141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7013964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900" b="0">
          <a:solidFill>
            <a:schemeClr val="tx1"/>
          </a:solidFill>
          <a:latin typeface="Times New Roman" panose="02020603050405020304" charset="0"/>
          <a:cs typeface="Times New Roman" panose="02020603050405020304" charset="0"/>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80" b="0" i="0" u="none" strike="noStrike" kern="1200" baseline="0">
                <a:solidFill>
                  <a:schemeClr val="tx1"/>
                </a:solidFill>
                <a:latin typeface="Times New Roman" panose="02020603050405020304" charset="0"/>
                <a:ea typeface="+mn-ea"/>
                <a:cs typeface="Times New Roman" panose="02020603050405020304" charset="0"/>
              </a:defRPr>
            </a:pPr>
            <a:r>
              <a:rPr lang="zh-CN"/>
              <a:t>（万平方米）</a:t>
            </a:r>
          </a:p>
        </c:rich>
      </c:tx>
      <c:layout>
        <c:manualLayout>
          <c:xMode val="edge"/>
          <c:yMode val="edge"/>
          <c:x val="1.6360432922225001E-3"/>
          <c:y val="2.0526855969893901E-2"/>
        </c:manualLayout>
      </c:layout>
      <c:overlay val="0"/>
      <c:spPr>
        <a:noFill/>
        <a:ln>
          <a:noFill/>
        </a:ln>
        <a:effectLst/>
      </c:spPr>
    </c:title>
    <c:autoTitleDeleted val="0"/>
    <c:plotArea>
      <c:layout>
        <c:manualLayout>
          <c:layoutTarget val="inner"/>
          <c:xMode val="edge"/>
          <c:yMode val="edge"/>
          <c:x val="8.6909473592418102E-2"/>
          <c:y val="0.116318850496066"/>
          <c:w val="0.90050557800587006"/>
          <c:h val="0.72947866634700098"/>
        </c:manualLayout>
      </c:layout>
      <c:barChart>
        <c:barDir val="col"/>
        <c:grouping val="clustered"/>
        <c:varyColors val="0"/>
        <c:ser>
          <c:idx val="0"/>
          <c:order val="0"/>
          <c:tx>
            <c:strRef>
              <c:f>Sheet1!$B$1</c:f>
              <c:strCache>
                <c:ptCount val="1"/>
                <c:pt idx="0">
                  <c:v>会展展出总面积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826.8</c:v>
                </c:pt>
                <c:pt idx="1">
                  <c:v>883.9</c:v>
                </c:pt>
                <c:pt idx="2">
                  <c:v>1027.2</c:v>
                </c:pt>
                <c:pt idx="3">
                  <c:v>1246.9000000000001</c:v>
                </c:pt>
                <c:pt idx="4">
                  <c:v>958.9</c:v>
                </c:pt>
              </c:numCache>
            </c:numRef>
          </c:val>
          <c:extLst>
            <c:ext xmlns:c16="http://schemas.microsoft.com/office/drawing/2014/chart" uri="{C3380CC4-5D6E-409C-BE32-E72D297353CC}">
              <c16:uniqueId val="{00000000-970B-4062-9EEE-31DB905F70B3}"/>
            </c:ext>
          </c:extLst>
        </c:ser>
        <c:dLbls>
          <c:showLegendKey val="0"/>
          <c:showVal val="1"/>
          <c:showCatName val="0"/>
          <c:showSerName val="0"/>
          <c:showPercent val="0"/>
          <c:showBubbleSize val="0"/>
        </c:dLbls>
        <c:gapWidth val="219"/>
        <c:overlap val="-27"/>
        <c:axId val="124768256"/>
        <c:axId val="124770944"/>
      </c:barChart>
      <c:catAx>
        <c:axId val="1247682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24770944"/>
        <c:crosses val="autoZero"/>
        <c:auto val="1"/>
        <c:lblAlgn val="ctr"/>
        <c:lblOffset val="100"/>
        <c:noMultiLvlLbl val="0"/>
      </c:catAx>
      <c:valAx>
        <c:axId val="124770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2476825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900" b="0">
          <a:solidFill>
            <a:schemeClr val="tx1"/>
          </a:solidFill>
          <a:latin typeface="Times New Roman" panose="02020603050405020304" charset="0"/>
          <a:cs typeface="Times New Roman" panose="02020603050405020304"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3598</Words>
  <Characters>20510</Characters>
  <Application>Microsoft Office Word</Application>
  <DocSecurity>0</DocSecurity>
  <Lines>170</Lines>
  <Paragraphs>48</Paragraphs>
  <ScaleCrop>false</ScaleCrop>
  <Company>Microsoft</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cp:lastModifiedBy>
  <cp:revision>3</cp:revision>
  <cp:lastPrinted>2022-08-04T23:00:00Z</cp:lastPrinted>
  <dcterms:created xsi:type="dcterms:W3CDTF">2022-08-24T07:34:00Z</dcterms:created>
  <dcterms:modified xsi:type="dcterms:W3CDTF">2022-08-24T07:35:00Z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D8F2E099905B4CB5845D8F2FADE1AF8F</vt:lpwstr>
  </property>
</Properties>
</file>